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88" w:type="dxa"/>
        <w:tblInd w:w="284" w:type="dxa"/>
        <w:tblLook w:val="01E0" w:firstRow="1" w:lastRow="1" w:firstColumn="1" w:lastColumn="1" w:noHBand="0" w:noVBand="0"/>
      </w:tblPr>
      <w:tblGrid>
        <w:gridCol w:w="3969"/>
        <w:gridCol w:w="4111"/>
        <w:gridCol w:w="6208"/>
      </w:tblGrid>
      <w:tr w:rsidR="00A058E8" w:rsidRPr="007E63B4" w14:paraId="358AB798" w14:textId="77777777">
        <w:trPr>
          <w:trHeight w:val="1313"/>
        </w:trPr>
        <w:tc>
          <w:tcPr>
            <w:tcW w:w="3969" w:type="dxa"/>
          </w:tcPr>
          <w:p w14:paraId="2D29C88C" w14:textId="77777777" w:rsidR="00A058E8" w:rsidRPr="007E63B4" w:rsidRDefault="00A058E8">
            <w:pPr>
              <w:jc w:val="center"/>
              <w:rPr>
                <w:szCs w:val="28"/>
              </w:rPr>
            </w:pPr>
            <w:bookmarkStart w:id="0" w:name="_Hlk178338546"/>
            <w:bookmarkStart w:id="1" w:name="_GoBack"/>
            <w:bookmarkEnd w:id="1"/>
            <w:r w:rsidRPr="007E63B4">
              <w:rPr>
                <w:szCs w:val="28"/>
              </w:rPr>
              <w:t>UBND THÀNH PHỐ HÀ NỘI</w:t>
            </w:r>
          </w:p>
          <w:p w14:paraId="36FF78E1" w14:textId="6ACC5D3A" w:rsidR="00A058E8" w:rsidRPr="007E63B4" w:rsidRDefault="00A058E8">
            <w:pPr>
              <w:jc w:val="center"/>
              <w:rPr>
                <w:b/>
                <w:szCs w:val="28"/>
              </w:rPr>
            </w:pPr>
            <w:r w:rsidRPr="007E63B4">
              <w:rPr>
                <w:b/>
                <w:szCs w:val="28"/>
              </w:rPr>
              <w:t xml:space="preserve">SỞ </w:t>
            </w:r>
            <w:r w:rsidR="000B6481">
              <w:rPr>
                <w:b/>
                <w:szCs w:val="28"/>
              </w:rPr>
              <w:t>TÀI CHÍNH</w:t>
            </w:r>
          </w:p>
          <w:p w14:paraId="01CD174D" w14:textId="4CB40F3A" w:rsidR="00A058E8" w:rsidRPr="007E63B4" w:rsidRDefault="005F2459">
            <w:pPr>
              <w:jc w:val="center"/>
              <w:rPr>
                <w:b/>
                <w:szCs w:val="28"/>
              </w:rPr>
            </w:pPr>
            <w:r w:rsidRPr="007E63B4">
              <w:rPr>
                <w:noProof/>
              </w:rPr>
              <mc:AlternateContent>
                <mc:Choice Requires="wps">
                  <w:drawing>
                    <wp:anchor distT="4294967295" distB="4294967295" distL="114300" distR="114300" simplePos="0" relativeHeight="251657216" behindDoc="0" locked="0" layoutInCell="1" allowOverlap="1" wp14:anchorId="584E1315" wp14:editId="62F0D8A5">
                      <wp:simplePos x="0" y="0"/>
                      <wp:positionH relativeFrom="column">
                        <wp:posOffset>858520</wp:posOffset>
                      </wp:positionH>
                      <wp:positionV relativeFrom="paragraph">
                        <wp:posOffset>48259</wp:posOffset>
                      </wp:positionV>
                      <wp:extent cx="534035" cy="0"/>
                      <wp:effectExtent l="0" t="0" r="0" b="0"/>
                      <wp:wrapNone/>
                      <wp:docPr id="29446645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0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C906787"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6pt,3.8pt" to="109.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" strokecolor="windowText" strokeweight=".5pt">
                      <v:stroke joinstyle="miter"/>
                      <o:lock v:ext="edit" shapetype="f"/>
                    </v:line>
                  </w:pict>
                </mc:Fallback>
              </mc:AlternateContent>
            </w:r>
          </w:p>
          <w:p w14:paraId="340383FE" w14:textId="77777777" w:rsidR="00A058E8" w:rsidRPr="007E63B4" w:rsidRDefault="00A058E8">
            <w:pPr>
              <w:jc w:val="center"/>
              <w:rPr>
                <w:b/>
                <w:szCs w:val="28"/>
              </w:rPr>
            </w:pPr>
          </w:p>
        </w:tc>
        <w:tc>
          <w:tcPr>
            <w:tcW w:w="4111" w:type="dxa"/>
          </w:tcPr>
          <w:p w14:paraId="05EB88C3" w14:textId="77777777" w:rsidR="00A058E8" w:rsidRPr="007E63B4" w:rsidRDefault="00A058E8">
            <w:pPr>
              <w:jc w:val="center"/>
              <w:rPr>
                <w:b/>
                <w:szCs w:val="28"/>
              </w:rPr>
            </w:pPr>
          </w:p>
        </w:tc>
        <w:tc>
          <w:tcPr>
            <w:tcW w:w="6208" w:type="dxa"/>
          </w:tcPr>
          <w:p w14:paraId="37EA5105" w14:textId="77777777" w:rsidR="00A058E8" w:rsidRPr="007E63B4" w:rsidRDefault="00A058E8">
            <w:pPr>
              <w:jc w:val="center"/>
              <w:rPr>
                <w:b/>
                <w:szCs w:val="28"/>
              </w:rPr>
            </w:pPr>
            <w:r w:rsidRPr="007E63B4">
              <w:rPr>
                <w:b/>
                <w:szCs w:val="28"/>
              </w:rPr>
              <w:t>CỘNG HÒA XÃ HỘI CHỦ NGHĨA VIỆT NAM</w:t>
            </w:r>
          </w:p>
          <w:p w14:paraId="3332FECA" w14:textId="77777777" w:rsidR="00A058E8" w:rsidRPr="007E63B4" w:rsidRDefault="00A058E8">
            <w:pPr>
              <w:jc w:val="center"/>
              <w:rPr>
                <w:b/>
                <w:szCs w:val="28"/>
              </w:rPr>
            </w:pPr>
            <w:r w:rsidRPr="007E63B4">
              <w:rPr>
                <w:b/>
                <w:szCs w:val="28"/>
              </w:rPr>
              <w:t>Độc lập - Tự do - Hạnh phúc</w:t>
            </w:r>
          </w:p>
          <w:p w14:paraId="46655A48" w14:textId="4AFB0510" w:rsidR="00A058E8" w:rsidRPr="007E63B4" w:rsidRDefault="005F2459">
            <w:pPr>
              <w:jc w:val="center"/>
              <w:rPr>
                <w:b/>
                <w:szCs w:val="28"/>
              </w:rPr>
            </w:pPr>
            <w:r w:rsidRPr="007E63B4">
              <w:rPr>
                <w:noProof/>
              </w:rPr>
              <mc:AlternateContent>
                <mc:Choice Requires="wps">
                  <w:drawing>
                    <wp:anchor distT="4294967295" distB="4294967295" distL="114300" distR="114300" simplePos="0" relativeHeight="251658240" behindDoc="0" locked="0" layoutInCell="1" allowOverlap="1" wp14:anchorId="463EE20C" wp14:editId="6B62DE67">
                      <wp:simplePos x="0" y="0"/>
                      <wp:positionH relativeFrom="column">
                        <wp:posOffset>904240</wp:posOffset>
                      </wp:positionH>
                      <wp:positionV relativeFrom="paragraph">
                        <wp:posOffset>48259</wp:posOffset>
                      </wp:positionV>
                      <wp:extent cx="2077720" cy="0"/>
                      <wp:effectExtent l="0" t="0" r="0" b="0"/>
                      <wp:wrapNone/>
                      <wp:docPr id="6544331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772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CF644B5"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2pt,3.8pt" to="234.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" strokecolor="windowText" strokeweight=".5pt">
                      <v:stroke joinstyle="miter"/>
                      <o:lock v:ext="edit" shapetype="f"/>
                    </v:line>
                  </w:pict>
                </mc:Fallback>
              </mc:AlternateContent>
            </w:r>
          </w:p>
          <w:p w14:paraId="39456043" w14:textId="199FA64A" w:rsidR="00A058E8" w:rsidRPr="007E63B4" w:rsidRDefault="00A058E8" w:rsidP="003E672A">
            <w:pPr>
              <w:jc w:val="center"/>
              <w:rPr>
                <w:i/>
                <w:szCs w:val="28"/>
              </w:rPr>
            </w:pPr>
            <w:r w:rsidRPr="007E63B4">
              <w:rPr>
                <w:i/>
                <w:szCs w:val="28"/>
              </w:rPr>
              <w:t xml:space="preserve">Hà Nội, ngày     tháng  </w:t>
            </w:r>
            <w:r w:rsidR="003E672A">
              <w:rPr>
                <w:i/>
                <w:szCs w:val="28"/>
              </w:rPr>
              <w:t xml:space="preserve"> </w:t>
            </w:r>
            <w:r w:rsidRPr="007E63B4">
              <w:rPr>
                <w:i/>
                <w:szCs w:val="28"/>
              </w:rPr>
              <w:t xml:space="preserve">   năm 202</w:t>
            </w:r>
            <w:r w:rsidR="003E672A">
              <w:rPr>
                <w:i/>
                <w:szCs w:val="28"/>
              </w:rPr>
              <w:t>6</w:t>
            </w:r>
          </w:p>
        </w:tc>
      </w:tr>
    </w:tbl>
    <w:p w14:paraId="25B2001D" w14:textId="77777777" w:rsidR="001501C5" w:rsidRPr="007E63B4" w:rsidRDefault="001501C5" w:rsidP="00A8343F">
      <w:pPr>
        <w:widowControl w:val="0"/>
        <w:jc w:val="center"/>
        <w:rPr>
          <w:b/>
          <w:bCs/>
          <w:szCs w:val="28"/>
        </w:rPr>
      </w:pPr>
    </w:p>
    <w:p w14:paraId="53F5081C" w14:textId="77777777" w:rsidR="00B81ED3" w:rsidRDefault="000B72A6" w:rsidP="0080027E">
      <w:pPr>
        <w:widowControl w:val="0"/>
        <w:jc w:val="center"/>
        <w:rPr>
          <w:b/>
          <w:bCs/>
          <w:szCs w:val="28"/>
        </w:rPr>
      </w:pPr>
      <w:r w:rsidRPr="007E63B4">
        <w:rPr>
          <w:b/>
          <w:bCs/>
          <w:szCs w:val="28"/>
        </w:rPr>
        <w:t>BẢN TỔNG HỢP</w:t>
      </w:r>
      <w:r w:rsidR="00CA70CD" w:rsidRPr="007E63B4">
        <w:rPr>
          <w:b/>
          <w:bCs/>
          <w:szCs w:val="28"/>
        </w:rPr>
        <w:t xml:space="preserve"> Ý KIẾN</w:t>
      </w:r>
      <w:r w:rsidRPr="007E63B4">
        <w:rPr>
          <w:b/>
          <w:bCs/>
          <w:szCs w:val="28"/>
        </w:rPr>
        <w:t xml:space="preserve">, </w:t>
      </w:r>
      <w:r w:rsidR="00CA70CD" w:rsidRPr="007E63B4">
        <w:rPr>
          <w:b/>
          <w:bCs/>
          <w:szCs w:val="28"/>
        </w:rPr>
        <w:t xml:space="preserve">TIẾP THU, GIẢI TRÌNH </w:t>
      </w:r>
      <w:r w:rsidRPr="007E63B4">
        <w:rPr>
          <w:b/>
          <w:bCs/>
          <w:szCs w:val="28"/>
        </w:rPr>
        <w:t xml:space="preserve">Ý KIẾN </w:t>
      </w:r>
      <w:r w:rsidR="00B662BA">
        <w:rPr>
          <w:b/>
          <w:bCs/>
          <w:szCs w:val="28"/>
        </w:rPr>
        <w:t>THAM VẤN</w:t>
      </w:r>
      <w:r w:rsidRPr="007E63B4">
        <w:rPr>
          <w:b/>
          <w:bCs/>
          <w:szCs w:val="28"/>
        </w:rPr>
        <w:t xml:space="preserve"> </w:t>
      </w:r>
      <w:r w:rsidR="00503DDF" w:rsidRPr="007E63B4">
        <w:rPr>
          <w:b/>
          <w:bCs/>
          <w:szCs w:val="28"/>
        </w:rPr>
        <w:t>ĐỐI VỚI</w:t>
      </w:r>
      <w:r w:rsidRPr="007E63B4">
        <w:rPr>
          <w:b/>
          <w:bCs/>
          <w:szCs w:val="28"/>
        </w:rPr>
        <w:t xml:space="preserve"> DỰ THẢO </w:t>
      </w:r>
      <w:r w:rsidR="00A92D84">
        <w:rPr>
          <w:b/>
          <w:bCs/>
          <w:szCs w:val="28"/>
        </w:rPr>
        <w:t>NGHỊ QUYẾT</w:t>
      </w:r>
      <w:r w:rsidRPr="007E63B4">
        <w:rPr>
          <w:b/>
          <w:bCs/>
          <w:szCs w:val="28"/>
        </w:rPr>
        <w:t xml:space="preserve"> CỦA </w:t>
      </w:r>
      <w:r w:rsidR="00A92D84">
        <w:rPr>
          <w:b/>
          <w:bCs/>
          <w:szCs w:val="28"/>
        </w:rPr>
        <w:t>HĐ</w:t>
      </w:r>
      <w:r w:rsidRPr="007E63B4">
        <w:rPr>
          <w:b/>
          <w:bCs/>
          <w:szCs w:val="28"/>
        </w:rPr>
        <w:t xml:space="preserve">ND THÀNH PHỐ </w:t>
      </w:r>
      <w:r w:rsidR="004944C2" w:rsidRPr="004944C2">
        <w:rPr>
          <w:b/>
          <w:bCs/>
          <w:szCs w:val="28"/>
        </w:rPr>
        <w:t xml:space="preserve">QUY ĐỊNH VỀ QUYẾT ĐỊNH, CHẤP THUẬN CHỦ TRƯƠNG ĐẦU TƯ VÀ ĐIỀU CHỈNH CHỦ TRƯƠNG ĐẦU TƯ; LỰA CHỌN NHÀ ĐẦU TƯ, NHÀ THẦU TRONG TRƯỜNG HỢP ĐẶC BIỆT; VIỆC XÁC ĐỊNH DỰ ÁN CẦN TRIỂN KHAI NGAY TRÊN ĐỊA BÀN THÀNH PHỐ HÀ NỘI </w:t>
      </w:r>
    </w:p>
    <w:p w14:paraId="650FAF78" w14:textId="688F13BC" w:rsidR="0086237A" w:rsidRDefault="00E9212C" w:rsidP="0080027E">
      <w:pPr>
        <w:widowControl w:val="0"/>
        <w:jc w:val="center"/>
        <w:rPr>
          <w:b/>
          <w:bCs/>
          <w:szCs w:val="28"/>
        </w:rPr>
      </w:pPr>
      <w:r w:rsidRPr="00E9212C">
        <w:rPr>
          <w:bCs/>
          <w:i/>
          <w:szCs w:val="28"/>
        </w:rPr>
        <w:t>(Thực hiện điểm a, b, d khoản 5 Điều 22 của Luật Thủ đô số 02/2026/QH16)</w:t>
      </w:r>
      <w:bookmarkEnd w:id="0"/>
    </w:p>
    <w:p w14:paraId="587BFC78" w14:textId="77777777" w:rsidR="0080027E" w:rsidRPr="0080027E" w:rsidRDefault="0080027E" w:rsidP="0080027E">
      <w:pPr>
        <w:widowControl w:val="0"/>
        <w:jc w:val="center"/>
        <w:rPr>
          <w:b/>
          <w:bCs/>
          <w:szCs w:val="28"/>
        </w:rPr>
      </w:pPr>
    </w:p>
    <w:tbl>
      <w:tblPr>
        <w:tblW w:w="141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5670"/>
        <w:gridCol w:w="5245"/>
      </w:tblGrid>
      <w:tr w:rsidR="00F9589D" w:rsidRPr="007C45CB" w14:paraId="675F8528" w14:textId="77777777" w:rsidTr="00F9589D">
        <w:trPr>
          <w:tblHeader/>
        </w:trPr>
        <w:tc>
          <w:tcPr>
            <w:tcW w:w="568" w:type="dxa"/>
          </w:tcPr>
          <w:p w14:paraId="25CB6B0F" w14:textId="77777777" w:rsidR="00F9589D" w:rsidRPr="007E63B4" w:rsidRDefault="00F9589D" w:rsidP="00E81E7B">
            <w:pPr>
              <w:spacing w:before="120"/>
              <w:jc w:val="center"/>
              <w:rPr>
                <w:rFonts w:eastAsia="Calibri"/>
                <w:b/>
                <w:bCs/>
                <w:sz w:val="24"/>
              </w:rPr>
            </w:pPr>
            <w:r w:rsidRPr="007E63B4">
              <w:rPr>
                <w:rFonts w:eastAsia="Calibri"/>
                <w:b/>
                <w:bCs/>
                <w:sz w:val="24"/>
              </w:rPr>
              <w:t>TT</w:t>
            </w:r>
          </w:p>
        </w:tc>
        <w:tc>
          <w:tcPr>
            <w:tcW w:w="2693" w:type="dxa"/>
          </w:tcPr>
          <w:p w14:paraId="07D6D779" w14:textId="77777777" w:rsidR="00F9589D" w:rsidRPr="007E63B4" w:rsidRDefault="00F9589D" w:rsidP="00E81E7B">
            <w:pPr>
              <w:spacing w:before="120"/>
              <w:jc w:val="center"/>
              <w:rPr>
                <w:rFonts w:eastAsia="Calibri"/>
                <w:b/>
                <w:bCs/>
                <w:sz w:val="24"/>
                <w:lang w:val="vi-VN"/>
              </w:rPr>
            </w:pPr>
            <w:r w:rsidRPr="007E63B4">
              <w:rPr>
                <w:rFonts w:eastAsia="Calibri"/>
                <w:b/>
                <w:bCs/>
                <w:sz w:val="24"/>
              </w:rPr>
              <w:t>Chính sách hoặc nhóm vấn đề, điều, khoản</w:t>
            </w:r>
          </w:p>
        </w:tc>
        <w:tc>
          <w:tcPr>
            <w:tcW w:w="5670" w:type="dxa"/>
          </w:tcPr>
          <w:p w14:paraId="2B0BB07E" w14:textId="77777777" w:rsidR="00F9589D" w:rsidRPr="007E63B4" w:rsidRDefault="00F9589D" w:rsidP="00E81E7B">
            <w:pPr>
              <w:spacing w:before="120"/>
              <w:jc w:val="center"/>
              <w:rPr>
                <w:rFonts w:eastAsia="Calibri"/>
                <w:b/>
                <w:bCs/>
                <w:sz w:val="24"/>
                <w:lang w:val="vi-VN"/>
              </w:rPr>
            </w:pPr>
            <w:r w:rsidRPr="007E63B4">
              <w:rPr>
                <w:rFonts w:eastAsia="Calibri"/>
                <w:b/>
                <w:bCs/>
                <w:sz w:val="24"/>
                <w:lang w:val="vi-VN"/>
              </w:rPr>
              <w:t>Nội dung góp ý</w:t>
            </w:r>
          </w:p>
        </w:tc>
        <w:tc>
          <w:tcPr>
            <w:tcW w:w="5245" w:type="dxa"/>
          </w:tcPr>
          <w:p w14:paraId="7A7EA3D1" w14:textId="77777777" w:rsidR="00F9589D" w:rsidRPr="007E63B4" w:rsidRDefault="00F9589D" w:rsidP="00E81E7B">
            <w:pPr>
              <w:spacing w:before="120"/>
              <w:jc w:val="center"/>
              <w:rPr>
                <w:rFonts w:eastAsia="Calibri"/>
                <w:b/>
                <w:bCs/>
                <w:sz w:val="24"/>
                <w:lang w:val="vi-VN"/>
              </w:rPr>
            </w:pPr>
            <w:r w:rsidRPr="007E63B4">
              <w:rPr>
                <w:rFonts w:eastAsia="Calibri"/>
                <w:b/>
                <w:bCs/>
                <w:sz w:val="24"/>
                <w:lang w:val="vi-VN"/>
              </w:rPr>
              <w:t>Nội dung tiếp thu, giải trình</w:t>
            </w:r>
          </w:p>
        </w:tc>
      </w:tr>
      <w:tr w:rsidR="006D068D" w:rsidRPr="007C45CB" w14:paraId="7314A3D0" w14:textId="77777777" w:rsidTr="007C7BE0">
        <w:tc>
          <w:tcPr>
            <w:tcW w:w="568" w:type="dxa"/>
          </w:tcPr>
          <w:p w14:paraId="78361046" w14:textId="73248DF8" w:rsidR="006D068D" w:rsidRPr="006D068D" w:rsidRDefault="006D068D" w:rsidP="00185AE5">
            <w:pPr>
              <w:spacing w:before="40"/>
              <w:jc w:val="center"/>
              <w:rPr>
                <w:rFonts w:eastAsia="Calibri"/>
                <w:b/>
                <w:sz w:val="24"/>
              </w:rPr>
            </w:pPr>
            <w:r w:rsidRPr="006D068D">
              <w:rPr>
                <w:rFonts w:eastAsia="Calibri"/>
                <w:b/>
                <w:sz w:val="24"/>
              </w:rPr>
              <w:t>I</w:t>
            </w:r>
          </w:p>
        </w:tc>
        <w:tc>
          <w:tcPr>
            <w:tcW w:w="13608" w:type="dxa"/>
            <w:gridSpan w:val="3"/>
          </w:tcPr>
          <w:p w14:paraId="39D31D37" w14:textId="21F8C717" w:rsidR="006D068D" w:rsidRPr="006D068D" w:rsidRDefault="006D068D" w:rsidP="00185AE5">
            <w:pPr>
              <w:spacing w:before="40"/>
              <w:jc w:val="both"/>
              <w:rPr>
                <w:rFonts w:eastAsia="Calibri"/>
                <w:b/>
                <w:sz w:val="24"/>
                <w:lang w:val="vi-VN"/>
              </w:rPr>
            </w:pPr>
            <w:r w:rsidRPr="006D068D">
              <w:rPr>
                <w:rFonts w:eastAsia="Calibri"/>
                <w:b/>
                <w:sz w:val="24"/>
                <w:lang w:val="vi-VN"/>
              </w:rPr>
              <w:t>Thường trực HĐND Thành phố</w:t>
            </w:r>
            <w:r w:rsidRPr="006D068D">
              <w:rPr>
                <w:rFonts w:eastAsia="Calibri"/>
                <w:b/>
                <w:sz w:val="24"/>
              </w:rPr>
              <w:t xml:space="preserve"> (Văn bản số </w:t>
            </w:r>
            <w:r w:rsidRPr="006D068D">
              <w:rPr>
                <w:rFonts w:eastAsia="Calibri"/>
                <w:b/>
                <w:sz w:val="24"/>
                <w:lang w:val="vi-VN"/>
              </w:rPr>
              <w:t>22/HĐND-BKTNS ngày 23/5/2026</w:t>
            </w:r>
            <w:r w:rsidRPr="006D068D">
              <w:rPr>
                <w:rFonts w:eastAsia="Calibri"/>
                <w:b/>
                <w:sz w:val="24"/>
              </w:rPr>
              <w:t>)</w:t>
            </w:r>
          </w:p>
        </w:tc>
      </w:tr>
      <w:tr w:rsidR="00F9589D" w:rsidRPr="007C45CB" w14:paraId="33B781A5" w14:textId="77777777" w:rsidTr="00F9589D">
        <w:tc>
          <w:tcPr>
            <w:tcW w:w="568" w:type="dxa"/>
          </w:tcPr>
          <w:p w14:paraId="64FEF1EA" w14:textId="15551ABE" w:rsidR="00F9589D" w:rsidRPr="00177D88" w:rsidRDefault="00F9589D" w:rsidP="00185AE5">
            <w:pPr>
              <w:spacing w:before="40"/>
              <w:jc w:val="center"/>
              <w:rPr>
                <w:rFonts w:eastAsia="Calibri"/>
                <w:sz w:val="24"/>
              </w:rPr>
            </w:pPr>
            <w:r>
              <w:rPr>
                <w:rFonts w:eastAsia="Calibri"/>
                <w:sz w:val="24"/>
              </w:rPr>
              <w:t>1</w:t>
            </w:r>
          </w:p>
        </w:tc>
        <w:tc>
          <w:tcPr>
            <w:tcW w:w="2693" w:type="dxa"/>
          </w:tcPr>
          <w:p w14:paraId="239381AA" w14:textId="5E4CDDB0" w:rsidR="00F9589D" w:rsidRPr="007C45CB" w:rsidRDefault="00F9589D" w:rsidP="00185AE5">
            <w:pPr>
              <w:spacing w:before="40"/>
              <w:ind w:left="-75"/>
              <w:jc w:val="both"/>
              <w:rPr>
                <w:rFonts w:eastAsia="Calibri"/>
                <w:sz w:val="24"/>
                <w:lang w:val="vi-VN"/>
              </w:rPr>
            </w:pPr>
            <w:r w:rsidRPr="007C45CB">
              <w:rPr>
                <w:rFonts w:eastAsia="Calibri"/>
                <w:sz w:val="24"/>
                <w:lang w:val="vi-VN"/>
              </w:rPr>
              <w:t>Căn cứ ban hành Nghị quyết</w:t>
            </w:r>
          </w:p>
        </w:tc>
        <w:tc>
          <w:tcPr>
            <w:tcW w:w="5670" w:type="dxa"/>
          </w:tcPr>
          <w:p w14:paraId="61982566" w14:textId="29595527" w:rsidR="00F9589D" w:rsidRPr="00356946" w:rsidRDefault="00F9589D" w:rsidP="00185AE5">
            <w:pPr>
              <w:spacing w:before="40"/>
              <w:jc w:val="both"/>
              <w:rPr>
                <w:rFonts w:eastAsia="Calibri"/>
                <w:sz w:val="24"/>
                <w:lang w:val="vi-VN"/>
              </w:rPr>
            </w:pPr>
            <w:r w:rsidRPr="00114B6E">
              <w:rPr>
                <w:rFonts w:eastAsia="Calibri"/>
                <w:sz w:val="24"/>
                <w:lang w:val="vi-VN"/>
              </w:rPr>
              <w:t>- Bổ sung các căn cứ: Luật Đấu thầu; Nghị quyết số 05/2026/NQ-HĐND ngày 11/5/2026 của HĐND Thành phố quy định một số nội dung về xây dựng, ban hành văn bản quy phạm pháp luật để tổ chức thi hành Luật Thủ đô;…</w:t>
            </w:r>
          </w:p>
        </w:tc>
        <w:tc>
          <w:tcPr>
            <w:tcW w:w="5245" w:type="dxa"/>
          </w:tcPr>
          <w:p w14:paraId="24DFAB33" w14:textId="2A24832E" w:rsidR="00F9589D" w:rsidRPr="007E63B4" w:rsidRDefault="00F9589D" w:rsidP="00185AE5">
            <w:pPr>
              <w:spacing w:before="40"/>
              <w:jc w:val="both"/>
              <w:rPr>
                <w:rFonts w:eastAsia="Calibri"/>
                <w:sz w:val="24"/>
                <w:lang w:val="vi-VN"/>
              </w:rPr>
            </w:pPr>
            <w:r w:rsidRPr="007E63B4">
              <w:rPr>
                <w:rFonts w:eastAsia="Calibri"/>
                <w:sz w:val="24"/>
                <w:lang w:val="vi-VN"/>
              </w:rPr>
              <w:t>Tiếp thu, sửa đổi dự thảo</w:t>
            </w:r>
            <w:r>
              <w:rPr>
                <w:rFonts w:eastAsia="Calibri"/>
                <w:sz w:val="24"/>
              </w:rPr>
              <w:t xml:space="preserve"> căn cứ pháp lý của dự thảo Nghị quyết</w:t>
            </w:r>
            <w:r w:rsidRPr="007E63B4">
              <w:rPr>
                <w:rFonts w:eastAsia="Calibri"/>
                <w:sz w:val="24"/>
                <w:lang w:val="vi-VN"/>
              </w:rPr>
              <w:t>.</w:t>
            </w:r>
          </w:p>
        </w:tc>
      </w:tr>
      <w:tr w:rsidR="00F9589D" w:rsidRPr="007C45CB" w14:paraId="3B936F31" w14:textId="77777777" w:rsidTr="00F9589D">
        <w:tc>
          <w:tcPr>
            <w:tcW w:w="568" w:type="dxa"/>
          </w:tcPr>
          <w:p w14:paraId="56842FAA" w14:textId="1035DF73" w:rsidR="00F9589D" w:rsidRPr="009A3DFC" w:rsidRDefault="00F9589D" w:rsidP="00840E90">
            <w:pPr>
              <w:spacing w:before="40"/>
              <w:jc w:val="center"/>
              <w:rPr>
                <w:rFonts w:eastAsia="Calibri"/>
                <w:sz w:val="24"/>
              </w:rPr>
            </w:pPr>
            <w:r>
              <w:rPr>
                <w:rFonts w:eastAsia="Calibri"/>
                <w:sz w:val="24"/>
              </w:rPr>
              <w:t>2</w:t>
            </w:r>
          </w:p>
        </w:tc>
        <w:tc>
          <w:tcPr>
            <w:tcW w:w="2693" w:type="dxa"/>
          </w:tcPr>
          <w:p w14:paraId="28256852" w14:textId="2BA9E0FC" w:rsidR="00F9589D" w:rsidRPr="009A3DFC" w:rsidRDefault="00F9589D" w:rsidP="00840E90">
            <w:pPr>
              <w:spacing w:before="40"/>
              <w:ind w:left="-75"/>
              <w:jc w:val="both"/>
              <w:rPr>
                <w:rFonts w:eastAsia="Calibri"/>
                <w:sz w:val="24"/>
                <w:lang w:val="vi-VN"/>
              </w:rPr>
            </w:pPr>
            <w:r w:rsidRPr="009A3DFC">
              <w:rPr>
                <w:rFonts w:eastAsia="Calibri"/>
                <w:sz w:val="24"/>
                <w:lang w:val="vi-VN"/>
              </w:rPr>
              <w:t>Điều 3 “Dự án lớn, quan trọng</w:t>
            </w:r>
          </w:p>
        </w:tc>
        <w:tc>
          <w:tcPr>
            <w:tcW w:w="5670" w:type="dxa"/>
          </w:tcPr>
          <w:p w14:paraId="4F06F93F" w14:textId="77777777" w:rsidR="00F9589D" w:rsidRPr="009A3DFC" w:rsidRDefault="00F9589D" w:rsidP="00840E90">
            <w:pPr>
              <w:spacing w:before="40"/>
              <w:jc w:val="both"/>
              <w:rPr>
                <w:rFonts w:eastAsia="Calibri"/>
                <w:sz w:val="24"/>
              </w:rPr>
            </w:pPr>
            <w:r w:rsidRPr="009A3DFC">
              <w:rPr>
                <w:rFonts w:eastAsia="Calibri"/>
                <w:sz w:val="24"/>
                <w:lang w:val="vi-VN"/>
              </w:rPr>
              <w:t>Điều 3 của Dự thảo về “Dự án lớn, quan trọng” lặp lại khoản 4 Điều 3 Luật Thủ đô là không phù hợp, đề nghị xem lại nội dung này.</w:t>
            </w:r>
            <w:r w:rsidRPr="009A3DFC">
              <w:rPr>
                <w:rFonts w:eastAsia="Calibri"/>
                <w:sz w:val="24"/>
              </w:rPr>
              <w:t xml:space="preserve"> </w:t>
            </w:r>
          </w:p>
          <w:p w14:paraId="15824F80" w14:textId="5994B4EF" w:rsidR="00F9589D" w:rsidRPr="009A3DFC" w:rsidRDefault="00F9589D" w:rsidP="00840E90">
            <w:pPr>
              <w:spacing w:before="40"/>
              <w:jc w:val="both"/>
              <w:rPr>
                <w:rFonts w:eastAsia="Calibri"/>
                <w:sz w:val="24"/>
                <w:lang w:val="vi-VN"/>
              </w:rPr>
            </w:pPr>
            <w:r w:rsidRPr="009A3DFC">
              <w:rPr>
                <w:rFonts w:eastAsia="Calibri"/>
                <w:sz w:val="24"/>
                <w:lang w:val="vi-VN"/>
              </w:rPr>
              <w:t>Nội dung dự thảo chưa có quy định về tiêu chí, điều kiện, trình tự, thủ tục xác định dự án cần triển khai ngay theo quy định tại điểm a khoản 4 Điều 3 Luật Thủ đô, đề nghị nghiên cứu bổ sung nội dung này.</w:t>
            </w:r>
          </w:p>
        </w:tc>
        <w:tc>
          <w:tcPr>
            <w:tcW w:w="5245" w:type="dxa"/>
          </w:tcPr>
          <w:p w14:paraId="4330A0BE" w14:textId="3325BBC0" w:rsidR="00F9589D" w:rsidRPr="001E56F0" w:rsidRDefault="004A36A0" w:rsidP="00840E90">
            <w:pPr>
              <w:spacing w:before="40"/>
              <w:jc w:val="both"/>
              <w:rPr>
                <w:rFonts w:eastAsia="Calibri"/>
                <w:sz w:val="24"/>
              </w:rPr>
            </w:pPr>
            <w:r>
              <w:rPr>
                <w:rFonts w:eastAsia="Calibri"/>
                <w:sz w:val="24"/>
              </w:rPr>
              <w:t xml:space="preserve">Đã rà soát bỏ Điều 3 </w:t>
            </w:r>
            <w:r w:rsidRPr="009A3DFC">
              <w:rPr>
                <w:rFonts w:eastAsia="Calibri"/>
                <w:sz w:val="24"/>
                <w:lang w:val="vi-VN"/>
              </w:rPr>
              <w:t>“Dự án lớn, quan trọng”</w:t>
            </w:r>
            <w:r>
              <w:rPr>
                <w:rFonts w:eastAsia="Calibri"/>
                <w:sz w:val="24"/>
              </w:rPr>
              <w:t xml:space="preserve"> và bổ sung quy định </w:t>
            </w:r>
            <w:r w:rsidRPr="009A3DFC">
              <w:rPr>
                <w:rFonts w:eastAsia="Calibri"/>
                <w:sz w:val="24"/>
                <w:lang w:val="vi-VN"/>
              </w:rPr>
              <w:t>về tiêu chí, điều kiện, trình tự, thủ tục xác định dự án cần triển khai ngay theo quy định tại điểm a khoản 4 Điều 3 Luật Thủ đô</w:t>
            </w:r>
            <w:r w:rsidR="001E56F0">
              <w:rPr>
                <w:rFonts w:eastAsia="Calibri"/>
                <w:sz w:val="24"/>
              </w:rPr>
              <w:t>.</w:t>
            </w:r>
          </w:p>
        </w:tc>
      </w:tr>
      <w:tr w:rsidR="004829B4" w:rsidRPr="007C45CB" w14:paraId="32FAB34E" w14:textId="77777777" w:rsidTr="00280BD3">
        <w:tc>
          <w:tcPr>
            <w:tcW w:w="568" w:type="dxa"/>
          </w:tcPr>
          <w:p w14:paraId="221D804C" w14:textId="1506F304" w:rsidR="004829B4" w:rsidRPr="004829B4" w:rsidRDefault="004829B4" w:rsidP="00131C56">
            <w:pPr>
              <w:spacing w:before="40"/>
              <w:jc w:val="center"/>
              <w:rPr>
                <w:rFonts w:eastAsia="Calibri"/>
                <w:b/>
                <w:sz w:val="24"/>
              </w:rPr>
            </w:pPr>
            <w:r w:rsidRPr="004829B4">
              <w:rPr>
                <w:rFonts w:eastAsia="Calibri"/>
                <w:b/>
                <w:sz w:val="24"/>
              </w:rPr>
              <w:t>II</w:t>
            </w:r>
          </w:p>
        </w:tc>
        <w:tc>
          <w:tcPr>
            <w:tcW w:w="13608" w:type="dxa"/>
            <w:gridSpan w:val="3"/>
          </w:tcPr>
          <w:p w14:paraId="04650843" w14:textId="5C0786B4" w:rsidR="004829B4" w:rsidRPr="004829B4" w:rsidRDefault="004829B4" w:rsidP="00131C56">
            <w:pPr>
              <w:spacing w:before="40"/>
              <w:jc w:val="both"/>
              <w:rPr>
                <w:rFonts w:eastAsia="Calibri"/>
                <w:b/>
                <w:sz w:val="24"/>
                <w:lang w:val="vi-VN"/>
              </w:rPr>
            </w:pPr>
            <w:r w:rsidRPr="004829B4">
              <w:rPr>
                <w:rFonts w:eastAsia="Calibri"/>
                <w:b/>
                <w:sz w:val="24"/>
              </w:rPr>
              <w:t>Ủy ban Mặt trận Tổ quốc Việt Nam thành phố Hà Nội (Văn bản số 7587/STC-HTĐT ngày 19/5/2026)</w:t>
            </w:r>
          </w:p>
        </w:tc>
      </w:tr>
      <w:tr w:rsidR="00F9589D" w:rsidRPr="007C45CB" w14:paraId="3E22F577" w14:textId="77777777" w:rsidTr="00F9589D">
        <w:tc>
          <w:tcPr>
            <w:tcW w:w="568" w:type="dxa"/>
          </w:tcPr>
          <w:p w14:paraId="442003C0" w14:textId="7A36B875" w:rsidR="00F9589D" w:rsidRPr="00A370A5" w:rsidRDefault="00A370A5" w:rsidP="00131C56">
            <w:pPr>
              <w:spacing w:before="40"/>
              <w:jc w:val="center"/>
              <w:rPr>
                <w:rFonts w:eastAsia="Calibri"/>
                <w:b/>
                <w:sz w:val="24"/>
              </w:rPr>
            </w:pPr>
            <w:r w:rsidRPr="00A370A5">
              <w:rPr>
                <w:rFonts w:eastAsia="Calibri"/>
                <w:b/>
                <w:sz w:val="24"/>
              </w:rPr>
              <w:t>1</w:t>
            </w:r>
          </w:p>
        </w:tc>
        <w:tc>
          <w:tcPr>
            <w:tcW w:w="2693" w:type="dxa"/>
          </w:tcPr>
          <w:p w14:paraId="1B3CA49C" w14:textId="70549ACA" w:rsidR="00F9589D" w:rsidRPr="00A370A5" w:rsidRDefault="001537AA" w:rsidP="00043F96">
            <w:pPr>
              <w:spacing w:before="40"/>
              <w:ind w:left="-75"/>
              <w:jc w:val="both"/>
              <w:rPr>
                <w:rFonts w:eastAsia="Calibri"/>
                <w:b/>
                <w:sz w:val="24"/>
              </w:rPr>
            </w:pPr>
            <w:r w:rsidRPr="00A370A5">
              <w:rPr>
                <w:rFonts w:eastAsia="Calibri"/>
                <w:b/>
                <w:sz w:val="24"/>
              </w:rPr>
              <w:t>Dự thảo Tờ trình</w:t>
            </w:r>
          </w:p>
        </w:tc>
        <w:tc>
          <w:tcPr>
            <w:tcW w:w="5670" w:type="dxa"/>
          </w:tcPr>
          <w:p w14:paraId="47EC93E3" w14:textId="61803C64" w:rsidR="00F9589D" w:rsidRPr="00762A92" w:rsidRDefault="00F9589D" w:rsidP="00762A92">
            <w:pPr>
              <w:spacing w:before="40"/>
              <w:jc w:val="both"/>
              <w:rPr>
                <w:rFonts w:eastAsia="Calibri"/>
                <w:sz w:val="24"/>
              </w:rPr>
            </w:pPr>
          </w:p>
        </w:tc>
        <w:tc>
          <w:tcPr>
            <w:tcW w:w="5245" w:type="dxa"/>
          </w:tcPr>
          <w:p w14:paraId="59F243E1" w14:textId="13140F61" w:rsidR="00F9589D" w:rsidRPr="007E63B4" w:rsidRDefault="00F9589D" w:rsidP="00131C56">
            <w:pPr>
              <w:spacing w:before="40"/>
              <w:jc w:val="both"/>
              <w:rPr>
                <w:rFonts w:eastAsia="Calibri"/>
                <w:sz w:val="24"/>
                <w:lang w:val="vi-VN"/>
              </w:rPr>
            </w:pPr>
          </w:p>
        </w:tc>
      </w:tr>
      <w:tr w:rsidR="00F9589D" w:rsidRPr="007C45CB" w14:paraId="781F8311" w14:textId="77777777" w:rsidTr="00F9589D">
        <w:tc>
          <w:tcPr>
            <w:tcW w:w="568" w:type="dxa"/>
          </w:tcPr>
          <w:p w14:paraId="678C07CA" w14:textId="34038185" w:rsidR="00F9589D" w:rsidRPr="007E63B4" w:rsidRDefault="00F96C98" w:rsidP="00E33BEB">
            <w:pPr>
              <w:spacing w:before="40"/>
              <w:jc w:val="center"/>
              <w:rPr>
                <w:rFonts w:eastAsia="Calibri"/>
                <w:sz w:val="24"/>
              </w:rPr>
            </w:pPr>
            <w:r>
              <w:rPr>
                <w:rFonts w:eastAsia="Calibri"/>
                <w:sz w:val="24"/>
              </w:rPr>
              <w:t>1</w:t>
            </w:r>
            <w:r w:rsidR="00A370A5">
              <w:rPr>
                <w:rFonts w:eastAsia="Calibri"/>
                <w:sz w:val="24"/>
              </w:rPr>
              <w:t>.1</w:t>
            </w:r>
          </w:p>
        </w:tc>
        <w:tc>
          <w:tcPr>
            <w:tcW w:w="2693" w:type="dxa"/>
          </w:tcPr>
          <w:p w14:paraId="0213CA5F" w14:textId="4EF7A2B7" w:rsidR="00F9589D" w:rsidRPr="007E63B4" w:rsidRDefault="00CE231F" w:rsidP="00E33BEB">
            <w:pPr>
              <w:spacing w:before="40"/>
              <w:ind w:left="-75"/>
              <w:jc w:val="both"/>
              <w:rPr>
                <w:sz w:val="24"/>
                <w:lang w:val="vi-VN"/>
              </w:rPr>
            </w:pPr>
            <w:r w:rsidRPr="00CE231F">
              <w:rPr>
                <w:sz w:val="24"/>
                <w:lang w:val="vi-VN"/>
              </w:rPr>
              <w:t>Về sự cần thiết ban hành</w:t>
            </w:r>
          </w:p>
        </w:tc>
        <w:tc>
          <w:tcPr>
            <w:tcW w:w="5670" w:type="dxa"/>
          </w:tcPr>
          <w:p w14:paraId="3044ECBE" w14:textId="77777777" w:rsidR="000E106B" w:rsidRDefault="000E106B" w:rsidP="000E106B">
            <w:pPr>
              <w:spacing w:before="40"/>
              <w:jc w:val="both"/>
              <w:rPr>
                <w:rFonts w:eastAsia="Calibri"/>
                <w:sz w:val="24"/>
              </w:rPr>
            </w:pPr>
            <w:r w:rsidRPr="000E106B">
              <w:rPr>
                <w:rFonts w:eastAsia="Calibri"/>
                <w:sz w:val="24"/>
                <w:lang w:val="vi-VN"/>
              </w:rPr>
              <w:t>Phần sự cần thiết ban hành Nghị quyết về cơ bản đã xác định đúng yêu cầu</w:t>
            </w:r>
            <w:r>
              <w:rPr>
                <w:rFonts w:eastAsia="Calibri"/>
                <w:sz w:val="24"/>
              </w:rPr>
              <w:t xml:space="preserve"> </w:t>
            </w:r>
            <w:r w:rsidRPr="000E106B">
              <w:rPr>
                <w:rFonts w:eastAsia="Calibri"/>
                <w:sz w:val="24"/>
                <w:lang w:val="vi-VN"/>
              </w:rPr>
              <w:t>phải kịp thời ban hành văn bản thay thế nhằm bảo đảm tính liên tục, thống nhất</w:t>
            </w:r>
            <w:r>
              <w:rPr>
                <w:rFonts w:eastAsia="Calibri"/>
                <w:sz w:val="24"/>
              </w:rPr>
              <w:t xml:space="preserve"> </w:t>
            </w:r>
            <w:r w:rsidRPr="000E106B">
              <w:rPr>
                <w:rFonts w:eastAsia="Calibri"/>
                <w:sz w:val="24"/>
                <w:lang w:val="vi-VN"/>
              </w:rPr>
              <w:t xml:space="preserve">của hệ thống </w:t>
            </w:r>
            <w:r w:rsidRPr="000E106B">
              <w:rPr>
                <w:rFonts w:eastAsia="Calibri"/>
                <w:sz w:val="24"/>
                <w:lang w:val="vi-VN"/>
              </w:rPr>
              <w:lastRenderedPageBreak/>
              <w:t>pháp luật trong bối cảnh Nghị quyết hiện hành sắp hết hiệu lự</w:t>
            </w:r>
            <w:r>
              <w:rPr>
                <w:rFonts w:eastAsia="Calibri"/>
                <w:sz w:val="24"/>
                <w:lang w:val="vi-VN"/>
              </w:rPr>
              <w:t>c theo</w:t>
            </w:r>
            <w:r>
              <w:rPr>
                <w:rFonts w:eastAsia="Calibri"/>
                <w:sz w:val="24"/>
              </w:rPr>
              <w:t xml:space="preserve"> </w:t>
            </w:r>
            <w:r w:rsidRPr="000E106B">
              <w:rPr>
                <w:rFonts w:eastAsia="Calibri"/>
                <w:sz w:val="24"/>
                <w:lang w:val="vi-VN"/>
              </w:rPr>
              <w:t>quy định của Luật Thủ đô năm 2026. Lập luận về việc tránh phát sinh khoả</w:t>
            </w:r>
            <w:r>
              <w:rPr>
                <w:rFonts w:eastAsia="Calibri"/>
                <w:sz w:val="24"/>
                <w:lang w:val="vi-VN"/>
              </w:rPr>
              <w:t>ng</w:t>
            </w:r>
            <w:r>
              <w:rPr>
                <w:rFonts w:eastAsia="Calibri"/>
                <w:sz w:val="24"/>
              </w:rPr>
              <w:t xml:space="preserve"> </w:t>
            </w:r>
            <w:r w:rsidRPr="000E106B">
              <w:rPr>
                <w:rFonts w:eastAsia="Calibri"/>
                <w:sz w:val="24"/>
                <w:lang w:val="vi-VN"/>
              </w:rPr>
              <w:t>trống pháp lý là có cơ sở pháp lý và phù hợp với thực tiễn quản lý nhà nướ</w:t>
            </w:r>
            <w:r>
              <w:rPr>
                <w:rFonts w:eastAsia="Calibri"/>
                <w:sz w:val="24"/>
                <w:lang w:val="vi-VN"/>
              </w:rPr>
              <w:t>c trong</w:t>
            </w:r>
            <w:r>
              <w:rPr>
                <w:rFonts w:eastAsia="Calibri"/>
                <w:sz w:val="24"/>
              </w:rPr>
              <w:t xml:space="preserve"> </w:t>
            </w:r>
            <w:r w:rsidRPr="000E106B">
              <w:rPr>
                <w:rFonts w:eastAsia="Calibri"/>
                <w:sz w:val="24"/>
                <w:lang w:val="vi-VN"/>
              </w:rPr>
              <w:t>lĩnh vực đầu tư trên địa bàn Thành phố</w:t>
            </w:r>
            <w:r>
              <w:rPr>
                <w:rFonts w:eastAsia="Calibri"/>
                <w:sz w:val="24"/>
                <w:lang w:val="vi-VN"/>
              </w:rPr>
              <w:t>.</w:t>
            </w:r>
            <w:r>
              <w:rPr>
                <w:rFonts w:eastAsia="Calibri"/>
                <w:sz w:val="24"/>
              </w:rPr>
              <w:t xml:space="preserve"> </w:t>
            </w:r>
            <w:r w:rsidRPr="000E106B">
              <w:rPr>
                <w:rFonts w:eastAsia="Calibri"/>
                <w:sz w:val="24"/>
                <w:lang w:val="vi-VN"/>
              </w:rPr>
              <w:t xml:space="preserve">Tuy nhiên, nội dung phần này còn mang tính khái quát, chưa </w:t>
            </w:r>
            <w:r>
              <w:rPr>
                <w:rFonts w:eastAsia="Calibri"/>
                <w:sz w:val="24"/>
                <w:lang w:val="vi-VN"/>
              </w:rPr>
              <w:t>làm rõ và chưa</w:t>
            </w:r>
            <w:r>
              <w:rPr>
                <w:rFonts w:eastAsia="Calibri"/>
                <w:sz w:val="24"/>
              </w:rPr>
              <w:t xml:space="preserve"> </w:t>
            </w:r>
            <w:r w:rsidRPr="000E106B">
              <w:rPr>
                <w:rFonts w:eastAsia="Calibri"/>
                <w:sz w:val="24"/>
                <w:lang w:val="vi-VN"/>
              </w:rPr>
              <w:t>phân tích sâu các tác động thực tiễn có thể phát sinh trong trường hợp chậ</w:t>
            </w:r>
            <w:r>
              <w:rPr>
                <w:rFonts w:eastAsia="Calibri"/>
                <w:sz w:val="24"/>
                <w:lang w:val="vi-VN"/>
              </w:rPr>
              <w:t>m ban</w:t>
            </w:r>
            <w:r>
              <w:rPr>
                <w:rFonts w:eastAsia="Calibri"/>
                <w:sz w:val="24"/>
              </w:rPr>
              <w:t xml:space="preserve"> </w:t>
            </w:r>
            <w:r w:rsidRPr="000E106B">
              <w:rPr>
                <w:rFonts w:eastAsia="Calibri"/>
                <w:sz w:val="24"/>
                <w:lang w:val="vi-VN"/>
              </w:rPr>
              <w:t>hành Nghị quyết. Cụ thể, chưa đánh giá đầy đủ ảnh hưởng đối với tiến độ triể</w:t>
            </w:r>
            <w:r>
              <w:rPr>
                <w:rFonts w:eastAsia="Calibri"/>
                <w:sz w:val="24"/>
                <w:lang w:val="vi-VN"/>
              </w:rPr>
              <w:t>n</w:t>
            </w:r>
            <w:r>
              <w:rPr>
                <w:rFonts w:eastAsia="Calibri"/>
                <w:sz w:val="24"/>
              </w:rPr>
              <w:t xml:space="preserve"> </w:t>
            </w:r>
            <w:r w:rsidRPr="000E106B">
              <w:rPr>
                <w:rFonts w:eastAsia="Calibri"/>
                <w:sz w:val="24"/>
                <w:lang w:val="vi-VN"/>
              </w:rPr>
              <w:t>khai các dự án đầu tư công, các dự án theo phương thức đố</w:t>
            </w:r>
            <w:r>
              <w:rPr>
                <w:rFonts w:eastAsia="Calibri"/>
                <w:sz w:val="24"/>
                <w:lang w:val="vi-VN"/>
              </w:rPr>
              <w:t>i tác công tư (PPP),</w:t>
            </w:r>
            <w:r>
              <w:rPr>
                <w:rFonts w:eastAsia="Calibri"/>
                <w:sz w:val="24"/>
              </w:rPr>
              <w:t xml:space="preserve"> </w:t>
            </w:r>
            <w:r w:rsidRPr="000E106B">
              <w:rPr>
                <w:rFonts w:eastAsia="Calibri"/>
                <w:sz w:val="24"/>
                <w:lang w:val="vi-VN"/>
              </w:rPr>
              <w:t>cũng như các dự án thu hút nhà đầu tư chiến lược trên địa bàn Thành phố. Việ</w:t>
            </w:r>
            <w:r>
              <w:rPr>
                <w:rFonts w:eastAsia="Calibri"/>
                <w:sz w:val="24"/>
                <w:lang w:val="vi-VN"/>
              </w:rPr>
              <w:t>c</w:t>
            </w:r>
            <w:r>
              <w:rPr>
                <w:rFonts w:eastAsia="Calibri"/>
                <w:sz w:val="24"/>
              </w:rPr>
              <w:t xml:space="preserve"> </w:t>
            </w:r>
            <w:r w:rsidRPr="000E106B">
              <w:rPr>
                <w:rFonts w:eastAsia="Calibri"/>
                <w:sz w:val="24"/>
                <w:lang w:val="vi-VN"/>
              </w:rPr>
              <w:t>thiếu phân tích này làm giảm mức độ thuyết phục của luận cứ về tính cấp thiết</w:t>
            </w:r>
            <w:r>
              <w:rPr>
                <w:rFonts w:eastAsia="Calibri"/>
                <w:sz w:val="24"/>
              </w:rPr>
              <w:t>.</w:t>
            </w:r>
          </w:p>
          <w:p w14:paraId="3D6994B4" w14:textId="4AD6DC18" w:rsidR="00F9589D" w:rsidRPr="000E106B" w:rsidRDefault="000E106B" w:rsidP="000E106B">
            <w:pPr>
              <w:spacing w:before="40"/>
              <w:jc w:val="both"/>
              <w:rPr>
                <w:rFonts w:eastAsia="Calibri"/>
                <w:sz w:val="24"/>
              </w:rPr>
            </w:pPr>
            <w:r>
              <w:rPr>
                <w:rFonts w:eastAsia="Calibri"/>
                <w:sz w:val="24"/>
              </w:rPr>
              <w:t xml:space="preserve"> </w:t>
            </w:r>
            <w:r w:rsidRPr="000E106B">
              <w:rPr>
                <w:rFonts w:eastAsia="Calibri"/>
                <w:sz w:val="24"/>
              </w:rPr>
              <w:t>Bên cạnh đó, phần sự cần thiết chưa nhấn mạnh đầy đủ yếu tố đặc thù củ</w:t>
            </w:r>
            <w:r>
              <w:rPr>
                <w:rFonts w:eastAsia="Calibri"/>
                <w:sz w:val="24"/>
              </w:rPr>
              <w:t xml:space="preserve">a </w:t>
            </w:r>
            <w:r w:rsidRPr="000E106B">
              <w:rPr>
                <w:rFonts w:eastAsia="Calibri"/>
                <w:sz w:val="24"/>
              </w:rPr>
              <w:t>Thủ đô Hà Nội trong việc cần có cơ chế điều hành linh hoạt, rút gọn và phù hợ</w:t>
            </w:r>
            <w:r>
              <w:rPr>
                <w:rFonts w:eastAsia="Calibri"/>
                <w:sz w:val="24"/>
              </w:rPr>
              <w:t xml:space="preserve">p </w:t>
            </w:r>
            <w:r w:rsidRPr="000E106B">
              <w:rPr>
                <w:rFonts w:eastAsia="Calibri"/>
                <w:sz w:val="24"/>
              </w:rPr>
              <w:t>với yêu cầu phát triển nhanh, bền vững. Việc chưa làm rõ yêu cầu về cơ chế đặ</w:t>
            </w:r>
            <w:r>
              <w:rPr>
                <w:rFonts w:eastAsia="Calibri"/>
                <w:sz w:val="24"/>
              </w:rPr>
              <w:t xml:space="preserve">c </w:t>
            </w:r>
            <w:r w:rsidRPr="000E106B">
              <w:rPr>
                <w:rFonts w:eastAsia="Calibri"/>
                <w:sz w:val="24"/>
              </w:rPr>
              <w:t>thù so với quy định chung của pháp luật hiện hành dẫn đến lập luận về</w:t>
            </w:r>
            <w:r>
              <w:rPr>
                <w:rFonts w:eastAsia="Calibri"/>
                <w:sz w:val="24"/>
              </w:rPr>
              <w:t xml:space="preserve"> chính sách </w:t>
            </w:r>
            <w:r w:rsidRPr="000E106B">
              <w:rPr>
                <w:rFonts w:eastAsia="Calibri"/>
                <w:sz w:val="24"/>
              </w:rPr>
              <w:t>chưa thật sự nổi bật, chưa thể hiện rõ tính chất cấp bách và tính khác biệt của vấ</w:t>
            </w:r>
            <w:r>
              <w:rPr>
                <w:rFonts w:eastAsia="Calibri"/>
                <w:sz w:val="24"/>
              </w:rPr>
              <w:t xml:space="preserve">n </w:t>
            </w:r>
            <w:r w:rsidRPr="000E106B">
              <w:rPr>
                <w:rFonts w:eastAsia="Calibri"/>
                <w:sz w:val="24"/>
              </w:rPr>
              <w:t>đề đặt ra</w:t>
            </w:r>
          </w:p>
        </w:tc>
        <w:tc>
          <w:tcPr>
            <w:tcW w:w="5245" w:type="dxa"/>
          </w:tcPr>
          <w:p w14:paraId="6D76B350" w14:textId="77777777" w:rsidR="00F9589D" w:rsidRDefault="00933DA1" w:rsidP="00E33BEB">
            <w:pPr>
              <w:spacing w:before="40"/>
              <w:jc w:val="both"/>
              <w:rPr>
                <w:rFonts w:eastAsia="Calibri"/>
                <w:sz w:val="24"/>
                <w:lang w:val="vi-VN"/>
              </w:rPr>
            </w:pPr>
            <w:r w:rsidRPr="00933DA1">
              <w:rPr>
                <w:rFonts w:eastAsia="Calibri"/>
                <w:sz w:val="24"/>
                <w:lang w:val="vi-VN"/>
              </w:rPr>
              <w:lastRenderedPageBreak/>
              <w:t xml:space="preserve">Tiếp thu ý kiến góp ý, cơ quan soạn thảo thống nhất rằng phần “Sự cần thiết ban hành Nghị quyết” cần được bổ sung, làm rõ hơn các phân tích về tác động </w:t>
            </w:r>
            <w:r w:rsidRPr="00933DA1">
              <w:rPr>
                <w:rFonts w:eastAsia="Calibri"/>
                <w:sz w:val="24"/>
                <w:lang w:val="vi-VN"/>
              </w:rPr>
              <w:lastRenderedPageBreak/>
              <w:t>thực tiễn trong trường hợp chậm ban hành văn bản, đặc biệt đối với tiến độ triển khai các dự án đầu tư công, dự án PPP và các dự án thu hút nhà đầu tư chiến lược trên địa bàn Thành phố.</w:t>
            </w:r>
          </w:p>
          <w:p w14:paraId="167A97D5" w14:textId="0F836303" w:rsidR="00933DA1" w:rsidRPr="007E63B4" w:rsidRDefault="00933DA1" w:rsidP="00933DA1">
            <w:pPr>
              <w:spacing w:before="40"/>
              <w:jc w:val="both"/>
              <w:rPr>
                <w:rFonts w:eastAsia="Calibri"/>
                <w:sz w:val="24"/>
                <w:lang w:val="vi-VN"/>
              </w:rPr>
            </w:pPr>
            <w:r w:rsidRPr="00933DA1">
              <w:rPr>
                <w:rFonts w:eastAsia="Calibri"/>
                <w:sz w:val="24"/>
                <w:lang w:val="vi-VN"/>
              </w:rPr>
              <w:t xml:space="preserve">Trên cơ sở tiếp thu ý kiến, cơ quan soạn thảo </w:t>
            </w:r>
            <w:r>
              <w:rPr>
                <w:rFonts w:eastAsia="Calibri"/>
                <w:sz w:val="24"/>
              </w:rPr>
              <w:t>đã</w:t>
            </w:r>
            <w:r w:rsidRPr="00933DA1">
              <w:rPr>
                <w:rFonts w:eastAsia="Calibri"/>
                <w:sz w:val="24"/>
                <w:lang w:val="vi-VN"/>
              </w:rPr>
              <w:t xml:space="preserve"> bổ sung, hoàn thiện phần “Sự cần thiết ban hành Nghị quyết” theo hướng làm rõ hơn tác động của việc chậm ban hành đối với hiệu quả quản lý nhà nước và tiến độ triển khai các dự án trọng điểm, đồng thời nhấn mạnh yêu cầu về cơ chế đặc thù, linh hoạt, rút gọn và phù hợp với tính chất đặc biệt của Thủ đô Hà Nội trong giai đoạn phát triển nhanh, bền vững. Việc bổ sung này nhằm tăng tính thuyết phục, làm rõ tính cấp bách và đặc thù của chính sách, bảo đảm phù hợp với định hướng phát triển Thủ đô trong giai đoạn mới.</w:t>
            </w:r>
          </w:p>
        </w:tc>
      </w:tr>
      <w:tr w:rsidR="00F9589D" w:rsidRPr="00216942" w14:paraId="101BC628" w14:textId="77777777" w:rsidTr="00F9589D">
        <w:tc>
          <w:tcPr>
            <w:tcW w:w="568" w:type="dxa"/>
          </w:tcPr>
          <w:p w14:paraId="56BD7D51" w14:textId="33029061" w:rsidR="00F9589D" w:rsidRPr="007E63B4" w:rsidRDefault="00A370A5" w:rsidP="00BC0BA7">
            <w:pPr>
              <w:spacing w:before="40"/>
              <w:jc w:val="center"/>
              <w:rPr>
                <w:rFonts w:eastAsia="Calibri"/>
                <w:sz w:val="24"/>
              </w:rPr>
            </w:pPr>
            <w:r>
              <w:rPr>
                <w:rFonts w:eastAsia="Calibri"/>
                <w:sz w:val="24"/>
              </w:rPr>
              <w:lastRenderedPageBreak/>
              <w:t>1.2</w:t>
            </w:r>
          </w:p>
        </w:tc>
        <w:tc>
          <w:tcPr>
            <w:tcW w:w="2693" w:type="dxa"/>
          </w:tcPr>
          <w:p w14:paraId="4E21FEBA" w14:textId="33202CA6" w:rsidR="00F9589D" w:rsidRPr="00032684" w:rsidRDefault="00145705" w:rsidP="00583325">
            <w:pPr>
              <w:spacing w:before="40"/>
              <w:jc w:val="both"/>
              <w:rPr>
                <w:rFonts w:eastAsia="Calibri"/>
                <w:sz w:val="24"/>
              </w:rPr>
            </w:pPr>
            <w:r w:rsidRPr="00145705">
              <w:rPr>
                <w:rFonts w:eastAsia="Calibri"/>
                <w:sz w:val="24"/>
              </w:rPr>
              <w:t>Về căn cứ pháp lý</w:t>
            </w:r>
          </w:p>
        </w:tc>
        <w:tc>
          <w:tcPr>
            <w:tcW w:w="5670" w:type="dxa"/>
          </w:tcPr>
          <w:p w14:paraId="4AACE252" w14:textId="737D5C64" w:rsidR="00F9589D" w:rsidRPr="00EE4F97" w:rsidRDefault="00F9589D" w:rsidP="00BC0BA7">
            <w:pPr>
              <w:spacing w:before="40"/>
              <w:jc w:val="both"/>
              <w:rPr>
                <w:sz w:val="24"/>
              </w:rPr>
            </w:pPr>
          </w:p>
        </w:tc>
        <w:tc>
          <w:tcPr>
            <w:tcW w:w="5245" w:type="dxa"/>
          </w:tcPr>
          <w:p w14:paraId="65733742" w14:textId="21604B6E" w:rsidR="00F9589D" w:rsidRPr="007E63B4" w:rsidRDefault="00F9589D" w:rsidP="00BC0BA7">
            <w:pPr>
              <w:spacing w:before="40"/>
              <w:jc w:val="both"/>
              <w:rPr>
                <w:rFonts w:eastAsia="Calibri"/>
                <w:sz w:val="24"/>
                <w:lang w:val="vi-VN"/>
              </w:rPr>
            </w:pPr>
          </w:p>
        </w:tc>
      </w:tr>
      <w:tr w:rsidR="00F9589D" w:rsidRPr="00E26B3F" w14:paraId="4ECB9A5F" w14:textId="77777777" w:rsidTr="00F9589D">
        <w:tc>
          <w:tcPr>
            <w:tcW w:w="568" w:type="dxa"/>
          </w:tcPr>
          <w:p w14:paraId="2B61ABB1" w14:textId="73995424" w:rsidR="00F9589D" w:rsidRPr="00750B6E" w:rsidRDefault="00F9589D" w:rsidP="00D64A07">
            <w:pPr>
              <w:spacing w:before="40"/>
              <w:jc w:val="center"/>
              <w:rPr>
                <w:rFonts w:eastAsia="Calibri"/>
                <w:sz w:val="24"/>
                <w:highlight w:val="yellow"/>
              </w:rPr>
            </w:pPr>
          </w:p>
        </w:tc>
        <w:tc>
          <w:tcPr>
            <w:tcW w:w="2693" w:type="dxa"/>
          </w:tcPr>
          <w:p w14:paraId="38D7BB35" w14:textId="2ADCCC60" w:rsidR="00F9589D" w:rsidRPr="00750B6E" w:rsidRDefault="00F9589D" w:rsidP="00DE05A0">
            <w:pPr>
              <w:spacing w:before="40"/>
              <w:jc w:val="both"/>
              <w:rPr>
                <w:rFonts w:eastAsia="Calibri"/>
                <w:sz w:val="24"/>
                <w:highlight w:val="yellow"/>
                <w:lang w:val="vi-VN"/>
              </w:rPr>
            </w:pPr>
          </w:p>
        </w:tc>
        <w:tc>
          <w:tcPr>
            <w:tcW w:w="5670" w:type="dxa"/>
          </w:tcPr>
          <w:p w14:paraId="548942FD" w14:textId="77777777" w:rsidR="00F9589D" w:rsidRDefault="0084331B" w:rsidP="0084331B">
            <w:pPr>
              <w:spacing w:before="40"/>
              <w:jc w:val="both"/>
              <w:rPr>
                <w:rFonts w:eastAsia="Calibri"/>
                <w:sz w:val="24"/>
              </w:rPr>
            </w:pPr>
            <w:r w:rsidRPr="0084331B">
              <w:rPr>
                <w:rFonts w:eastAsia="Calibri"/>
                <w:sz w:val="24"/>
                <w:lang w:val="vi-VN"/>
              </w:rPr>
              <w:t>Danh mục căn cứ pháp lý của dự thảo Tờ trình về cơ bản đã bảo đảm đầ</w:t>
            </w:r>
            <w:r>
              <w:rPr>
                <w:rFonts w:eastAsia="Calibri"/>
                <w:sz w:val="24"/>
                <w:lang w:val="vi-VN"/>
              </w:rPr>
              <w:t>y</w:t>
            </w:r>
            <w:r>
              <w:rPr>
                <w:rFonts w:eastAsia="Calibri"/>
                <w:sz w:val="24"/>
              </w:rPr>
              <w:t xml:space="preserve"> </w:t>
            </w:r>
            <w:r w:rsidRPr="0084331B">
              <w:rPr>
                <w:rFonts w:eastAsia="Calibri"/>
                <w:sz w:val="24"/>
                <w:lang w:val="vi-VN"/>
              </w:rPr>
              <w:t>đủ các nhóm văn bản có liên quan, bao gồm luật chuyên ngành, luật tổ chức bộ</w:t>
            </w:r>
            <w:r>
              <w:rPr>
                <w:rFonts w:eastAsia="Calibri"/>
                <w:sz w:val="24"/>
              </w:rPr>
              <w:t xml:space="preserve"> </w:t>
            </w:r>
            <w:r w:rsidRPr="0084331B">
              <w:rPr>
                <w:rFonts w:eastAsia="Calibri"/>
                <w:sz w:val="24"/>
                <w:lang w:val="vi-VN"/>
              </w:rPr>
              <w:t>máy và luật ban hành văn bản quy phạm pháp luật. Tuy nhiên, việc sắp xế</w:t>
            </w:r>
            <w:r>
              <w:rPr>
                <w:rFonts w:eastAsia="Calibri"/>
                <w:sz w:val="24"/>
                <w:lang w:val="vi-VN"/>
              </w:rPr>
              <w:t>p các</w:t>
            </w:r>
            <w:r>
              <w:rPr>
                <w:rFonts w:eastAsia="Calibri"/>
                <w:sz w:val="24"/>
              </w:rPr>
              <w:t xml:space="preserve"> </w:t>
            </w:r>
            <w:r w:rsidRPr="0084331B">
              <w:rPr>
                <w:rFonts w:eastAsia="Calibri"/>
                <w:sz w:val="24"/>
                <w:lang w:val="vi-VN"/>
              </w:rPr>
              <w:t>căn cứ hiện nay chưa thật sự bảo đảm tính logic theo trật tự hiệu lực pháp lý, chủ</w:t>
            </w:r>
            <w:r>
              <w:rPr>
                <w:rFonts w:eastAsia="Calibri"/>
                <w:sz w:val="24"/>
              </w:rPr>
              <w:t xml:space="preserve"> </w:t>
            </w:r>
            <w:r w:rsidRPr="0084331B">
              <w:rPr>
                <w:rFonts w:eastAsia="Calibri"/>
                <w:sz w:val="24"/>
                <w:lang w:val="vi-VN"/>
              </w:rPr>
              <w:t>yếu còn mang tính liệt kê, chưa thể hiện rõ thứ bậc từ văn bản có hiệu lực pháp lý</w:t>
            </w:r>
            <w:r>
              <w:rPr>
                <w:rFonts w:eastAsia="Calibri"/>
                <w:sz w:val="24"/>
              </w:rPr>
              <w:t xml:space="preserve"> </w:t>
            </w:r>
            <w:r w:rsidRPr="0084331B">
              <w:rPr>
                <w:rFonts w:eastAsia="Calibri"/>
                <w:sz w:val="24"/>
                <w:lang w:val="vi-VN"/>
              </w:rPr>
              <w:t>cao đến văn bản hướng dẫn thi hành</w:t>
            </w:r>
            <w:r>
              <w:rPr>
                <w:rFonts w:eastAsia="Calibri"/>
                <w:sz w:val="24"/>
              </w:rPr>
              <w:t>.</w:t>
            </w:r>
          </w:p>
          <w:p w14:paraId="76F1800C" w14:textId="06096777" w:rsidR="0084331B" w:rsidRPr="0084331B" w:rsidRDefault="0084331B" w:rsidP="0084331B">
            <w:pPr>
              <w:spacing w:before="40"/>
              <w:jc w:val="both"/>
              <w:rPr>
                <w:rFonts w:eastAsia="Calibri"/>
                <w:sz w:val="24"/>
              </w:rPr>
            </w:pPr>
            <w:r w:rsidRPr="0084331B">
              <w:rPr>
                <w:rFonts w:eastAsia="Calibri"/>
                <w:sz w:val="24"/>
              </w:rPr>
              <w:lastRenderedPageBreak/>
              <w:t>Ngoài ra, một số văn bản được viện dẫn cần tiếp tục rà soát về</w:t>
            </w:r>
            <w:r>
              <w:rPr>
                <w:rFonts w:eastAsia="Calibri"/>
                <w:sz w:val="24"/>
              </w:rPr>
              <w:t xml:space="preserve"> tính chính </w:t>
            </w:r>
            <w:r w:rsidRPr="0084331B">
              <w:rPr>
                <w:rFonts w:eastAsia="Calibri"/>
                <w:sz w:val="24"/>
              </w:rPr>
              <w:t>xác, tính hiện hành và mức độ hiệu lực pháp lý tại thời điểm ban hành Nghị quyế</w:t>
            </w:r>
            <w:r>
              <w:rPr>
                <w:rFonts w:eastAsia="Calibri"/>
                <w:sz w:val="24"/>
              </w:rPr>
              <w:t xml:space="preserve">t, </w:t>
            </w:r>
            <w:r w:rsidRPr="0084331B">
              <w:rPr>
                <w:rFonts w:eastAsia="Calibri"/>
                <w:sz w:val="24"/>
              </w:rPr>
              <w:t>đặc biệt đối với các văn bản mang tính giả định hoặc chưa được xác đị</w:t>
            </w:r>
            <w:r>
              <w:rPr>
                <w:rFonts w:eastAsia="Calibri"/>
                <w:sz w:val="24"/>
              </w:rPr>
              <w:t xml:space="preserve">nh rõ tình </w:t>
            </w:r>
            <w:r w:rsidRPr="0084331B">
              <w:rPr>
                <w:rFonts w:eastAsia="Calibri"/>
                <w:sz w:val="24"/>
              </w:rPr>
              <w:t>trạng hiệu lực. Việc sử dụng chưa thống nhất tên gọi của một số văn bả</w:t>
            </w:r>
            <w:r>
              <w:rPr>
                <w:rFonts w:eastAsia="Calibri"/>
                <w:sz w:val="24"/>
              </w:rPr>
              <w:t xml:space="preserve">n cũng có </w:t>
            </w:r>
            <w:r w:rsidRPr="0084331B">
              <w:rPr>
                <w:rFonts w:eastAsia="Calibri"/>
                <w:sz w:val="24"/>
              </w:rPr>
              <w:t>thể dẫn đến khó khăn trong quá trình thẩm định và áp dụng pháp luật. Vì vậy, đề</w:t>
            </w:r>
            <w:r>
              <w:rPr>
                <w:rFonts w:eastAsia="Calibri"/>
                <w:sz w:val="24"/>
              </w:rPr>
              <w:t xml:space="preserve"> </w:t>
            </w:r>
            <w:r w:rsidRPr="0084331B">
              <w:rPr>
                <w:rFonts w:eastAsia="Calibri"/>
                <w:sz w:val="24"/>
              </w:rPr>
              <w:t>nghị cơ quan soạn thảo tiếp tục rà soát, chuẩn hóa lại danh mục căn cứ</w:t>
            </w:r>
            <w:r>
              <w:rPr>
                <w:rFonts w:eastAsia="Calibri"/>
                <w:sz w:val="24"/>
              </w:rPr>
              <w:t xml:space="preserve"> pháp lý </w:t>
            </w:r>
            <w:r w:rsidRPr="0084331B">
              <w:rPr>
                <w:rFonts w:eastAsia="Calibri"/>
                <w:sz w:val="24"/>
              </w:rPr>
              <w:t>theo hướng bảo đảm tính chính xác, thống nhất về kỹ thuật trình bày, đồng thờ</w:t>
            </w:r>
            <w:r>
              <w:rPr>
                <w:rFonts w:eastAsia="Calibri"/>
                <w:sz w:val="24"/>
              </w:rPr>
              <w:t xml:space="preserve">i </w:t>
            </w:r>
            <w:r w:rsidRPr="0084331B">
              <w:rPr>
                <w:rFonts w:eastAsia="Calibri"/>
                <w:sz w:val="24"/>
              </w:rPr>
              <w:t>sắp xếp lại theo đúng thứ tự hiệu lực pháp lý nhằm nâng cao tính chặt chẽ</w:t>
            </w:r>
            <w:r>
              <w:rPr>
                <w:rFonts w:eastAsia="Calibri"/>
                <w:sz w:val="24"/>
              </w:rPr>
              <w:t xml:space="preserve"> và tính </w:t>
            </w:r>
            <w:r w:rsidRPr="0084331B">
              <w:rPr>
                <w:rFonts w:eastAsia="Calibri"/>
                <w:sz w:val="24"/>
              </w:rPr>
              <w:t>thuyết phục của Tờ trình.</w:t>
            </w:r>
          </w:p>
        </w:tc>
        <w:tc>
          <w:tcPr>
            <w:tcW w:w="5245" w:type="dxa"/>
          </w:tcPr>
          <w:p w14:paraId="29CA3E7A" w14:textId="471D5500" w:rsidR="00F9589D" w:rsidRPr="00DE05A0" w:rsidRDefault="00136E2C" w:rsidP="00D014B1">
            <w:pPr>
              <w:spacing w:before="40"/>
              <w:jc w:val="both"/>
              <w:rPr>
                <w:rFonts w:eastAsia="Calibri"/>
                <w:sz w:val="24"/>
              </w:rPr>
            </w:pPr>
            <w:r>
              <w:rPr>
                <w:rFonts w:eastAsia="Calibri"/>
                <w:sz w:val="24"/>
              </w:rPr>
              <w:lastRenderedPageBreak/>
              <w:t>Cơ quan soạn thảo đã cập nhậ</w:t>
            </w:r>
            <w:r w:rsidR="00C266D6">
              <w:rPr>
                <w:rFonts w:eastAsia="Calibri"/>
                <w:sz w:val="24"/>
              </w:rPr>
              <w:t xml:space="preserve">t theo </w:t>
            </w:r>
            <w:r w:rsidR="00C266D6" w:rsidRPr="00C266D6">
              <w:rPr>
                <w:rFonts w:eastAsia="Calibri"/>
                <w:sz w:val="24"/>
              </w:rPr>
              <w:t>biểu mẫu ban hành kèm theo Nghị quyết</w:t>
            </w:r>
            <w:r w:rsidR="00C266D6">
              <w:rPr>
                <w:rFonts w:eastAsia="Calibri"/>
                <w:sz w:val="24"/>
              </w:rPr>
              <w:t xml:space="preserve"> </w:t>
            </w:r>
            <w:r w:rsidR="00C266D6" w:rsidRPr="00C266D6">
              <w:rPr>
                <w:rFonts w:eastAsia="Calibri"/>
                <w:sz w:val="24"/>
              </w:rPr>
              <w:t>số 05/2026/NQ</w:t>
            </w:r>
            <w:r w:rsidR="00D014B1">
              <w:rPr>
                <w:rFonts w:eastAsia="Calibri"/>
                <w:sz w:val="24"/>
              </w:rPr>
              <w:t>-</w:t>
            </w:r>
            <w:r w:rsidR="00C266D6" w:rsidRPr="00C266D6">
              <w:rPr>
                <w:rFonts w:eastAsia="Calibri"/>
                <w:sz w:val="24"/>
              </w:rPr>
              <w:t>HĐND</w:t>
            </w:r>
            <w:r w:rsidR="00D014B1">
              <w:rPr>
                <w:rFonts w:eastAsia="Calibri"/>
                <w:sz w:val="24"/>
              </w:rPr>
              <w:t xml:space="preserve"> </w:t>
            </w:r>
          </w:p>
        </w:tc>
      </w:tr>
      <w:tr w:rsidR="00F9589D" w:rsidRPr="00E26B3F" w14:paraId="73F9D891" w14:textId="77777777" w:rsidTr="00F9589D">
        <w:tc>
          <w:tcPr>
            <w:tcW w:w="568" w:type="dxa"/>
          </w:tcPr>
          <w:p w14:paraId="386B9F33" w14:textId="77777777" w:rsidR="00F9589D" w:rsidRPr="00750B6E" w:rsidRDefault="00F9589D" w:rsidP="002B0391">
            <w:pPr>
              <w:spacing w:before="40"/>
              <w:jc w:val="center"/>
              <w:rPr>
                <w:rFonts w:eastAsia="Calibri"/>
                <w:sz w:val="24"/>
                <w:highlight w:val="yellow"/>
              </w:rPr>
            </w:pPr>
          </w:p>
        </w:tc>
        <w:tc>
          <w:tcPr>
            <w:tcW w:w="2693" w:type="dxa"/>
          </w:tcPr>
          <w:p w14:paraId="13C739BA" w14:textId="61C3D208" w:rsidR="00F9589D" w:rsidRPr="004F3011" w:rsidRDefault="005E5004" w:rsidP="002B0391">
            <w:pPr>
              <w:spacing w:before="40"/>
              <w:jc w:val="both"/>
              <w:rPr>
                <w:rFonts w:eastAsia="Calibri"/>
                <w:sz w:val="24"/>
                <w:highlight w:val="yellow"/>
              </w:rPr>
            </w:pPr>
            <w:r w:rsidRPr="005E5004">
              <w:rPr>
                <w:rFonts w:eastAsia="Calibri"/>
                <w:sz w:val="24"/>
              </w:rPr>
              <w:t>Về thẩm quyền ban hành</w:t>
            </w:r>
          </w:p>
        </w:tc>
        <w:tc>
          <w:tcPr>
            <w:tcW w:w="5670" w:type="dxa"/>
          </w:tcPr>
          <w:p w14:paraId="66FC2E9A" w14:textId="2CB72362" w:rsidR="005E5004" w:rsidRPr="005E5004" w:rsidRDefault="005E5004" w:rsidP="005E5004">
            <w:pPr>
              <w:spacing w:before="40"/>
              <w:jc w:val="both"/>
              <w:rPr>
                <w:rFonts w:eastAsia="Calibri"/>
                <w:sz w:val="24"/>
              </w:rPr>
            </w:pPr>
            <w:r w:rsidRPr="005E5004">
              <w:rPr>
                <w:rFonts w:eastAsia="Calibri"/>
                <w:sz w:val="24"/>
              </w:rPr>
              <w:t>Việc xác định thẩm quyền của Hội đồng nhân dân Thành phố trong việ</w:t>
            </w:r>
            <w:r>
              <w:rPr>
                <w:rFonts w:eastAsia="Calibri"/>
                <w:sz w:val="24"/>
              </w:rPr>
              <w:t xml:space="preserve">c ban </w:t>
            </w:r>
            <w:r w:rsidRPr="005E5004">
              <w:rPr>
                <w:rFonts w:eastAsia="Calibri"/>
                <w:sz w:val="24"/>
              </w:rPr>
              <w:t>hành Nghị quyết cơ bản là phù hợp với quy định của Luật Thủ đô năm 2026, đặc biệ</w:t>
            </w:r>
            <w:r>
              <w:rPr>
                <w:rFonts w:eastAsia="Calibri"/>
                <w:sz w:val="24"/>
              </w:rPr>
              <w:t xml:space="preserve">t </w:t>
            </w:r>
            <w:r w:rsidRPr="005E5004">
              <w:rPr>
                <w:rFonts w:eastAsia="Calibri"/>
                <w:sz w:val="24"/>
              </w:rPr>
              <w:t>là các nội dung liên quan đến phân quyền cho HĐND trong lĩnh vực quản lý đầ</w:t>
            </w:r>
            <w:r>
              <w:rPr>
                <w:rFonts w:eastAsia="Calibri"/>
                <w:sz w:val="24"/>
              </w:rPr>
              <w:t xml:space="preserve">u tư </w:t>
            </w:r>
            <w:r w:rsidRPr="005E5004">
              <w:rPr>
                <w:rFonts w:eastAsia="Calibri"/>
                <w:sz w:val="24"/>
              </w:rPr>
              <w:t>trên địa bàn Thành phố. Về nguyên tắc, đây là nhóm nội dung thuộc phạm vi điề</w:t>
            </w:r>
            <w:r>
              <w:rPr>
                <w:rFonts w:eastAsia="Calibri"/>
                <w:sz w:val="24"/>
              </w:rPr>
              <w:t xml:space="preserve">u </w:t>
            </w:r>
            <w:r w:rsidRPr="005E5004">
              <w:rPr>
                <w:rFonts w:eastAsia="Calibri"/>
                <w:sz w:val="24"/>
              </w:rPr>
              <w:t>chỉnh mà HĐND Thành phố được giao quy định chi tiết theo luậ</w:t>
            </w:r>
            <w:r>
              <w:rPr>
                <w:rFonts w:eastAsia="Calibri"/>
                <w:sz w:val="24"/>
              </w:rPr>
              <w:t xml:space="preserve">t chuyên ngành. </w:t>
            </w:r>
            <w:r w:rsidRPr="005E5004">
              <w:rPr>
                <w:rFonts w:eastAsia="Calibri"/>
                <w:sz w:val="24"/>
              </w:rPr>
              <w:t>Tuy nhiên, phần viện dẫn căn cứ pháp lý hiện nay còn trình bày theo hướ</w:t>
            </w:r>
            <w:r>
              <w:rPr>
                <w:rFonts w:eastAsia="Calibri"/>
                <w:sz w:val="24"/>
              </w:rPr>
              <w:t xml:space="preserve">ng </w:t>
            </w:r>
            <w:r w:rsidRPr="005E5004">
              <w:rPr>
                <w:rFonts w:eastAsia="Calibri"/>
                <w:sz w:val="24"/>
              </w:rPr>
              <w:t>dẫn chiếu đầy đủ nội dung điều luật, dẫn đến văn bản mang tính liệ</w:t>
            </w:r>
            <w:r>
              <w:rPr>
                <w:rFonts w:eastAsia="Calibri"/>
                <w:sz w:val="24"/>
              </w:rPr>
              <w:t xml:space="preserve">t kê và sao </w:t>
            </w:r>
            <w:r w:rsidRPr="005E5004">
              <w:rPr>
                <w:rFonts w:eastAsia="Calibri"/>
                <w:sz w:val="24"/>
              </w:rPr>
              <w:t>chép quy định của luật, chưa bảo đảm yêu cầu cô đọng và kỹ thuật trình bày củ</w:t>
            </w:r>
            <w:r>
              <w:rPr>
                <w:rFonts w:eastAsia="Calibri"/>
                <w:sz w:val="24"/>
              </w:rPr>
              <w:t xml:space="preserve">a </w:t>
            </w:r>
            <w:r w:rsidRPr="005E5004">
              <w:rPr>
                <w:rFonts w:eastAsia="Calibri"/>
                <w:sz w:val="24"/>
              </w:rPr>
              <w:t>Tờ trình. Đề nghị cơ quan soạn thảo rà soát, chỉnh lý theo hướng khái quát hóa nộ</w:t>
            </w:r>
            <w:r>
              <w:rPr>
                <w:rFonts w:eastAsia="Calibri"/>
                <w:sz w:val="24"/>
              </w:rPr>
              <w:t xml:space="preserve">i </w:t>
            </w:r>
            <w:r w:rsidRPr="005E5004">
              <w:rPr>
                <w:rFonts w:eastAsia="Calibri"/>
                <w:sz w:val="24"/>
              </w:rPr>
              <w:t>dung thẩm quyền được giao, sau đó kết luận rõ ràng việc ban hành Nghị quyế</w:t>
            </w:r>
            <w:r>
              <w:rPr>
                <w:rFonts w:eastAsia="Calibri"/>
                <w:sz w:val="24"/>
              </w:rPr>
              <w:t xml:space="preserve">t </w:t>
            </w:r>
            <w:r w:rsidRPr="005E5004">
              <w:rPr>
                <w:rFonts w:eastAsia="Calibri"/>
                <w:sz w:val="24"/>
              </w:rPr>
              <w:t>thuộc thẩm quyền của HĐND Thành phố, nhằm bảo đảm tính ngắn gọ</w:t>
            </w:r>
            <w:r>
              <w:rPr>
                <w:rFonts w:eastAsia="Calibri"/>
                <w:sz w:val="24"/>
              </w:rPr>
              <w:t xml:space="preserve">n, rõ ý và </w:t>
            </w:r>
            <w:r w:rsidRPr="005E5004">
              <w:rPr>
                <w:rFonts w:eastAsia="Calibri"/>
                <w:sz w:val="24"/>
              </w:rPr>
              <w:t>đúng kỹ thuật xây dựng văn bản quy phạm pháp luật.</w:t>
            </w:r>
          </w:p>
          <w:p w14:paraId="5C34FDC1" w14:textId="42A7BE3A" w:rsidR="00F9589D" w:rsidRPr="004F3011" w:rsidRDefault="005E5004" w:rsidP="005E5004">
            <w:pPr>
              <w:spacing w:before="40"/>
              <w:jc w:val="both"/>
              <w:rPr>
                <w:rFonts w:eastAsia="Calibri"/>
                <w:sz w:val="24"/>
              </w:rPr>
            </w:pPr>
            <w:r w:rsidRPr="005E5004">
              <w:rPr>
                <w:rFonts w:eastAsia="Calibri"/>
                <w:sz w:val="24"/>
              </w:rPr>
              <w:t>Đồng thời, đề nghị lưu ý làm rõ ranh giới thẩm quyền giữa Hội đồng nhân</w:t>
            </w:r>
            <w:r>
              <w:rPr>
                <w:rFonts w:eastAsia="Calibri"/>
                <w:sz w:val="24"/>
              </w:rPr>
              <w:t xml:space="preserve"> </w:t>
            </w:r>
            <w:r w:rsidRPr="005E5004">
              <w:rPr>
                <w:rFonts w:eastAsia="Calibri"/>
                <w:sz w:val="24"/>
              </w:rPr>
              <w:t xml:space="preserve">dân và Ủy ban nhân dân Thành phố </w:t>
            </w:r>
            <w:r w:rsidRPr="005E5004">
              <w:rPr>
                <w:rFonts w:eastAsia="Calibri"/>
                <w:sz w:val="24"/>
              </w:rPr>
              <w:lastRenderedPageBreak/>
              <w:t>trong quá trình tổ chức thực hiện, đặc biệt đố</w:t>
            </w:r>
            <w:r>
              <w:rPr>
                <w:rFonts w:eastAsia="Calibri"/>
                <w:sz w:val="24"/>
              </w:rPr>
              <w:t xml:space="preserve">i </w:t>
            </w:r>
            <w:r w:rsidRPr="005E5004">
              <w:rPr>
                <w:rFonts w:eastAsia="Calibri"/>
                <w:sz w:val="24"/>
              </w:rPr>
              <w:t>với nội dung liên quan đến việc xác định “dự án cần triển khai ngay”. Đây là</w:t>
            </w:r>
            <w:r>
              <w:rPr>
                <w:rFonts w:eastAsia="Calibri"/>
                <w:sz w:val="24"/>
              </w:rPr>
              <w:t xml:space="preserve"> </w:t>
            </w:r>
            <w:r w:rsidRPr="005E5004">
              <w:rPr>
                <w:rFonts w:eastAsia="Calibri"/>
                <w:sz w:val="24"/>
              </w:rPr>
              <w:t>nhóm nội dung có tính chất dễ phát sinh cách hiểu khác nhau trong thực tiễ</w:t>
            </w:r>
            <w:r>
              <w:rPr>
                <w:rFonts w:eastAsia="Calibri"/>
                <w:sz w:val="24"/>
              </w:rPr>
              <w:t xml:space="preserve">n, do </w:t>
            </w:r>
            <w:r w:rsidRPr="005E5004">
              <w:rPr>
                <w:rFonts w:eastAsia="Calibri"/>
                <w:sz w:val="24"/>
              </w:rPr>
              <w:t>đó cần được quy định và diễn giải theo hướng bảo đảm không mở rộng sang thẩ</w:t>
            </w:r>
            <w:r>
              <w:rPr>
                <w:rFonts w:eastAsia="Calibri"/>
                <w:sz w:val="24"/>
              </w:rPr>
              <w:t xml:space="preserve">m </w:t>
            </w:r>
            <w:r w:rsidRPr="005E5004">
              <w:rPr>
                <w:rFonts w:eastAsia="Calibri"/>
                <w:sz w:val="24"/>
              </w:rPr>
              <w:t>quyền quyết định hành chính của UBND, tránh nguy cơ chồng lấn chứ</w:t>
            </w:r>
            <w:r>
              <w:rPr>
                <w:rFonts w:eastAsia="Calibri"/>
                <w:sz w:val="24"/>
              </w:rPr>
              <w:t xml:space="preserve">c năng, </w:t>
            </w:r>
            <w:r w:rsidRPr="005E5004">
              <w:rPr>
                <w:rFonts w:eastAsia="Calibri"/>
                <w:sz w:val="24"/>
              </w:rPr>
              <w:t>nhiệm vụ giữa các cơ quan trong hệ thống chính quyền địa phương.</w:t>
            </w:r>
          </w:p>
        </w:tc>
        <w:tc>
          <w:tcPr>
            <w:tcW w:w="5245" w:type="dxa"/>
          </w:tcPr>
          <w:p w14:paraId="77F7AECD" w14:textId="78EBAFFA" w:rsidR="00F9589D" w:rsidRPr="0020441F" w:rsidRDefault="00D014B1" w:rsidP="002B0391">
            <w:pPr>
              <w:spacing w:before="40"/>
              <w:jc w:val="both"/>
              <w:rPr>
                <w:rFonts w:eastAsia="Calibri"/>
                <w:color w:val="FF0000"/>
                <w:sz w:val="24"/>
              </w:rPr>
            </w:pPr>
            <w:r>
              <w:rPr>
                <w:rFonts w:eastAsia="Calibri"/>
                <w:sz w:val="24"/>
              </w:rPr>
              <w:lastRenderedPageBreak/>
              <w:t xml:space="preserve">Cơ quan soạn thảo đã cập nhật theo </w:t>
            </w:r>
            <w:r w:rsidRPr="00C266D6">
              <w:rPr>
                <w:rFonts w:eastAsia="Calibri"/>
                <w:sz w:val="24"/>
              </w:rPr>
              <w:t>biểu mẫu ban hành kèm theo Nghị quyết</w:t>
            </w:r>
            <w:r>
              <w:rPr>
                <w:rFonts w:eastAsia="Calibri"/>
                <w:sz w:val="24"/>
              </w:rPr>
              <w:t xml:space="preserve"> </w:t>
            </w:r>
            <w:r w:rsidRPr="00C266D6">
              <w:rPr>
                <w:rFonts w:eastAsia="Calibri"/>
                <w:sz w:val="24"/>
              </w:rPr>
              <w:t>số 05/2026/NQ</w:t>
            </w:r>
            <w:r>
              <w:rPr>
                <w:rFonts w:eastAsia="Calibri"/>
                <w:sz w:val="24"/>
              </w:rPr>
              <w:t>-</w:t>
            </w:r>
            <w:r w:rsidRPr="00C266D6">
              <w:rPr>
                <w:rFonts w:eastAsia="Calibri"/>
                <w:sz w:val="24"/>
              </w:rPr>
              <w:t>HĐND</w:t>
            </w:r>
            <w:r w:rsidR="004002FB">
              <w:rPr>
                <w:rFonts w:eastAsia="Calibri"/>
                <w:sz w:val="24"/>
              </w:rPr>
              <w:t>, theo đó không có nội dung quy định về thẩm quyền ban hành</w:t>
            </w:r>
          </w:p>
        </w:tc>
      </w:tr>
      <w:tr w:rsidR="00F9589D" w:rsidRPr="00E26B3F" w14:paraId="1E944507" w14:textId="77777777" w:rsidTr="00F9589D">
        <w:tc>
          <w:tcPr>
            <w:tcW w:w="568" w:type="dxa"/>
          </w:tcPr>
          <w:p w14:paraId="73EE165C" w14:textId="047841F5" w:rsidR="00F9589D" w:rsidRPr="00750B6E" w:rsidRDefault="00F9589D" w:rsidP="002B0391">
            <w:pPr>
              <w:spacing w:before="40"/>
              <w:jc w:val="center"/>
              <w:rPr>
                <w:rFonts w:eastAsia="Calibri"/>
                <w:sz w:val="24"/>
                <w:highlight w:val="yellow"/>
              </w:rPr>
            </w:pPr>
          </w:p>
        </w:tc>
        <w:tc>
          <w:tcPr>
            <w:tcW w:w="2693" w:type="dxa"/>
          </w:tcPr>
          <w:p w14:paraId="2278E72B" w14:textId="4FD1EBB4" w:rsidR="00F9589D" w:rsidRPr="00750B6E" w:rsidRDefault="00044C80" w:rsidP="002B0391">
            <w:pPr>
              <w:spacing w:before="40"/>
              <w:jc w:val="both"/>
              <w:rPr>
                <w:rFonts w:eastAsia="Calibri"/>
                <w:sz w:val="24"/>
                <w:highlight w:val="yellow"/>
              </w:rPr>
            </w:pPr>
            <w:r w:rsidRPr="00044C80">
              <w:rPr>
                <w:rFonts w:eastAsia="Calibri"/>
                <w:sz w:val="24"/>
              </w:rPr>
              <w:t>Về nội dung cơ bản của Nghị quyết</w:t>
            </w:r>
          </w:p>
        </w:tc>
        <w:tc>
          <w:tcPr>
            <w:tcW w:w="5670" w:type="dxa"/>
          </w:tcPr>
          <w:p w14:paraId="752AA8EF" w14:textId="6FB89F1D" w:rsidR="0098095C" w:rsidRPr="0098095C" w:rsidRDefault="0098095C" w:rsidP="0098095C">
            <w:pPr>
              <w:spacing w:before="40"/>
              <w:jc w:val="both"/>
              <w:rPr>
                <w:rFonts w:eastAsia="Calibri"/>
                <w:sz w:val="24"/>
                <w:lang w:val="vi-VN"/>
              </w:rPr>
            </w:pPr>
            <w:r w:rsidRPr="0098095C">
              <w:rPr>
                <w:rFonts w:eastAsia="Calibri"/>
                <w:sz w:val="24"/>
                <w:lang w:val="vi-VN"/>
              </w:rPr>
              <w:t>Phần nội dung cơ bản của Nghị quyết về cơ bản đã xác đị</w:t>
            </w:r>
            <w:r>
              <w:rPr>
                <w:rFonts w:eastAsia="Calibri"/>
                <w:sz w:val="24"/>
                <w:lang w:val="vi-VN"/>
              </w:rPr>
              <w:t>nh đúng các nhóm</w:t>
            </w:r>
            <w:r>
              <w:rPr>
                <w:rFonts w:eastAsia="Calibri"/>
                <w:sz w:val="24"/>
              </w:rPr>
              <w:t xml:space="preserve"> </w:t>
            </w:r>
            <w:r w:rsidRPr="0098095C">
              <w:rPr>
                <w:rFonts w:eastAsia="Calibri"/>
                <w:sz w:val="24"/>
                <w:lang w:val="vi-VN"/>
              </w:rPr>
              <w:t>vấn đề cần điều chỉnh, bao gồm quy định về thủ tục chủ trương đầu tư, điều chỉ</w:t>
            </w:r>
            <w:r>
              <w:rPr>
                <w:rFonts w:eastAsia="Calibri"/>
                <w:sz w:val="24"/>
                <w:lang w:val="vi-VN"/>
              </w:rPr>
              <w:t>nh</w:t>
            </w:r>
            <w:r>
              <w:rPr>
                <w:rFonts w:eastAsia="Calibri"/>
                <w:sz w:val="24"/>
              </w:rPr>
              <w:t xml:space="preserve"> </w:t>
            </w:r>
            <w:r w:rsidRPr="0098095C">
              <w:rPr>
                <w:rFonts w:eastAsia="Calibri"/>
                <w:sz w:val="24"/>
                <w:lang w:val="vi-VN"/>
              </w:rPr>
              <w:t>chủ trương đầu tư, lựa chọn nhà đầu tư và xác định dự án cần triển khai ngay.</w:t>
            </w:r>
          </w:p>
          <w:p w14:paraId="0B0BA4B2" w14:textId="32D48F24" w:rsidR="0098095C" w:rsidRPr="0098095C" w:rsidRDefault="0098095C" w:rsidP="0098095C">
            <w:pPr>
              <w:spacing w:before="40"/>
              <w:jc w:val="both"/>
              <w:rPr>
                <w:rFonts w:eastAsia="Calibri"/>
                <w:sz w:val="24"/>
                <w:lang w:val="vi-VN"/>
              </w:rPr>
            </w:pPr>
            <w:r w:rsidRPr="0098095C">
              <w:rPr>
                <w:rFonts w:eastAsia="Calibri"/>
                <w:sz w:val="24"/>
                <w:lang w:val="vi-VN"/>
              </w:rPr>
              <w:t>Cách tiếp cận theo nhóm vấn đề là phù hợp với tính chất của văn bản quy phạ</w:t>
            </w:r>
            <w:r>
              <w:rPr>
                <w:rFonts w:eastAsia="Calibri"/>
                <w:sz w:val="24"/>
                <w:lang w:val="vi-VN"/>
              </w:rPr>
              <w:t>m</w:t>
            </w:r>
            <w:r>
              <w:rPr>
                <w:rFonts w:eastAsia="Calibri"/>
                <w:sz w:val="24"/>
              </w:rPr>
              <w:t xml:space="preserve"> </w:t>
            </w:r>
            <w:r w:rsidRPr="0098095C">
              <w:rPr>
                <w:rFonts w:eastAsia="Calibri"/>
                <w:sz w:val="24"/>
                <w:lang w:val="vi-VN"/>
              </w:rPr>
              <w:t>pháp luật trong lĩnh vực đầu tư.</w:t>
            </w:r>
          </w:p>
          <w:p w14:paraId="01427DA6" w14:textId="269D7395" w:rsidR="0098095C" w:rsidRPr="0098095C" w:rsidRDefault="0098095C" w:rsidP="0098095C">
            <w:pPr>
              <w:spacing w:before="40"/>
              <w:jc w:val="both"/>
              <w:rPr>
                <w:rFonts w:eastAsia="Calibri"/>
                <w:sz w:val="24"/>
                <w:lang w:val="vi-VN"/>
              </w:rPr>
            </w:pPr>
            <w:r w:rsidRPr="0098095C">
              <w:rPr>
                <w:rFonts w:eastAsia="Calibri"/>
                <w:sz w:val="24"/>
                <w:lang w:val="vi-VN"/>
              </w:rPr>
              <w:t>Tuy nhiên, nội dung hiện nay mới dừng ở mức mô tả cấu trúc tổng thể củ</w:t>
            </w:r>
            <w:r>
              <w:rPr>
                <w:rFonts w:eastAsia="Calibri"/>
                <w:sz w:val="24"/>
                <w:lang w:val="vi-VN"/>
              </w:rPr>
              <w:t>a</w:t>
            </w:r>
            <w:r>
              <w:rPr>
                <w:rFonts w:eastAsia="Calibri"/>
                <w:sz w:val="24"/>
              </w:rPr>
              <w:t xml:space="preserve"> </w:t>
            </w:r>
            <w:r w:rsidRPr="0098095C">
              <w:rPr>
                <w:rFonts w:eastAsia="Calibri"/>
                <w:sz w:val="24"/>
                <w:lang w:val="vi-VN"/>
              </w:rPr>
              <w:t>Nghị quyết như số chương, số điều, chưa làm rõ logic nội dung bên trong từ</w:t>
            </w:r>
            <w:r>
              <w:rPr>
                <w:rFonts w:eastAsia="Calibri"/>
                <w:sz w:val="24"/>
                <w:lang w:val="vi-VN"/>
              </w:rPr>
              <w:t>ng</w:t>
            </w:r>
            <w:r>
              <w:rPr>
                <w:rFonts w:eastAsia="Calibri"/>
                <w:sz w:val="24"/>
              </w:rPr>
              <w:t xml:space="preserve"> </w:t>
            </w:r>
            <w:r w:rsidRPr="0098095C">
              <w:rPr>
                <w:rFonts w:eastAsia="Calibri"/>
                <w:sz w:val="24"/>
                <w:lang w:val="vi-VN"/>
              </w:rPr>
              <w:t>nhóm quy định, cũng như mối quan hệ giữa các thủ tục trong toàn bộ</w:t>
            </w:r>
            <w:r>
              <w:rPr>
                <w:rFonts w:eastAsia="Calibri"/>
                <w:sz w:val="24"/>
                <w:lang w:val="vi-VN"/>
              </w:rPr>
              <w:t xml:space="preserve"> quy trình</w:t>
            </w:r>
            <w:r>
              <w:rPr>
                <w:rFonts w:eastAsia="Calibri"/>
                <w:sz w:val="24"/>
              </w:rPr>
              <w:t xml:space="preserve"> </w:t>
            </w:r>
            <w:r w:rsidRPr="0098095C">
              <w:rPr>
                <w:rFonts w:eastAsia="Calibri"/>
                <w:sz w:val="24"/>
                <w:lang w:val="vi-VN"/>
              </w:rPr>
              <w:t>đầu tư. Điều này làm giảm tính minh bạch về cấ</w:t>
            </w:r>
            <w:r>
              <w:rPr>
                <w:rFonts w:eastAsia="Calibri"/>
                <w:sz w:val="24"/>
                <w:lang w:val="vi-VN"/>
              </w:rPr>
              <w:t>u trúc chính sách và khó khăn</w:t>
            </w:r>
            <w:r>
              <w:rPr>
                <w:rFonts w:eastAsia="Calibri"/>
                <w:sz w:val="24"/>
              </w:rPr>
              <w:t xml:space="preserve"> </w:t>
            </w:r>
            <w:r w:rsidRPr="0098095C">
              <w:rPr>
                <w:rFonts w:eastAsia="Calibri"/>
                <w:sz w:val="24"/>
                <w:lang w:val="vi-VN"/>
              </w:rPr>
              <w:t>trong việc hình dung cơ chế vận hành cụ thể sau khi Nghị quyết được ban hành.</w:t>
            </w:r>
          </w:p>
          <w:p w14:paraId="62662D6F" w14:textId="13E5E5E2" w:rsidR="00F9589D" w:rsidRPr="0098095C" w:rsidRDefault="0098095C" w:rsidP="0098095C">
            <w:pPr>
              <w:spacing w:before="40"/>
              <w:jc w:val="both"/>
              <w:rPr>
                <w:rFonts w:eastAsia="Calibri"/>
                <w:sz w:val="24"/>
                <w:lang w:val="vi-VN"/>
              </w:rPr>
            </w:pPr>
            <w:r w:rsidRPr="0098095C">
              <w:rPr>
                <w:rFonts w:eastAsia="Calibri"/>
                <w:sz w:val="24"/>
                <w:lang w:val="vi-VN"/>
              </w:rPr>
              <w:t>Đặc biệt, nhóm quy định liên quan đến tiêu chí xác định dự án cần triể</w:t>
            </w:r>
            <w:r>
              <w:rPr>
                <w:rFonts w:eastAsia="Calibri"/>
                <w:sz w:val="24"/>
                <w:lang w:val="vi-VN"/>
              </w:rPr>
              <w:t>n</w:t>
            </w:r>
            <w:r>
              <w:rPr>
                <w:rFonts w:eastAsia="Calibri"/>
                <w:sz w:val="24"/>
              </w:rPr>
              <w:t xml:space="preserve"> </w:t>
            </w:r>
            <w:r w:rsidRPr="0098095C">
              <w:rPr>
                <w:rFonts w:eastAsia="Calibri"/>
                <w:sz w:val="24"/>
                <w:lang w:val="vi-VN"/>
              </w:rPr>
              <w:t>khai ngay là nội dung có tính chất quan trọng, có tác động lớn trong thực tiễ</w:t>
            </w:r>
            <w:r>
              <w:rPr>
                <w:rFonts w:eastAsia="Calibri"/>
                <w:sz w:val="24"/>
                <w:lang w:val="vi-VN"/>
              </w:rPr>
              <w:t>n áp</w:t>
            </w:r>
            <w:r>
              <w:rPr>
                <w:rFonts w:eastAsia="Calibri"/>
                <w:sz w:val="24"/>
              </w:rPr>
              <w:t xml:space="preserve"> </w:t>
            </w:r>
            <w:r w:rsidRPr="0098095C">
              <w:rPr>
                <w:rFonts w:eastAsia="Calibri"/>
                <w:sz w:val="24"/>
                <w:lang w:val="vi-VN"/>
              </w:rPr>
              <w:t>dụng. Tuy nhiên, hiện chưa được cụ thể hóa bằng</w:t>
            </w:r>
            <w:r>
              <w:rPr>
                <w:rFonts w:eastAsia="Calibri"/>
                <w:sz w:val="24"/>
                <w:lang w:val="vi-VN"/>
              </w:rPr>
              <w:t xml:space="preserve"> các tiêu chí rõ ràng mang tính</w:t>
            </w:r>
            <w:r>
              <w:rPr>
                <w:rFonts w:eastAsia="Calibri"/>
                <w:sz w:val="24"/>
              </w:rPr>
              <w:t xml:space="preserve"> </w:t>
            </w:r>
            <w:r w:rsidRPr="0098095C">
              <w:rPr>
                <w:rFonts w:eastAsia="Calibri"/>
                <w:sz w:val="24"/>
                <w:lang w:val="vi-VN"/>
              </w:rPr>
              <w:t>định tính hoặc định lượng, dẫn đến nguy cơ trong quá trình áp dụng có thể</w:t>
            </w:r>
            <w:r>
              <w:rPr>
                <w:rFonts w:eastAsia="Calibri"/>
                <w:sz w:val="24"/>
                <w:lang w:val="vi-VN"/>
              </w:rPr>
              <w:t xml:space="preserve"> phát</w:t>
            </w:r>
            <w:r>
              <w:rPr>
                <w:rFonts w:eastAsia="Calibri"/>
                <w:sz w:val="24"/>
              </w:rPr>
              <w:t xml:space="preserve"> </w:t>
            </w:r>
            <w:r w:rsidRPr="0098095C">
              <w:rPr>
                <w:rFonts w:eastAsia="Calibri"/>
                <w:sz w:val="24"/>
                <w:lang w:val="vi-VN"/>
              </w:rPr>
              <w:t>sinh cách hiểu và vận dụng không thống nhất giữa các cơ quan, đơn vị.</w:t>
            </w:r>
          </w:p>
        </w:tc>
        <w:tc>
          <w:tcPr>
            <w:tcW w:w="5245" w:type="dxa"/>
          </w:tcPr>
          <w:p w14:paraId="6F69CD75" w14:textId="77777777" w:rsidR="00F9589D" w:rsidRDefault="0039209F" w:rsidP="002B0391">
            <w:pPr>
              <w:spacing w:before="40"/>
              <w:jc w:val="both"/>
              <w:rPr>
                <w:rFonts w:eastAsia="Calibri"/>
                <w:sz w:val="24"/>
              </w:rPr>
            </w:pPr>
            <w:r w:rsidRPr="0039209F">
              <w:rPr>
                <w:rFonts w:eastAsia="Calibri"/>
                <w:sz w:val="24"/>
                <w:lang w:val="vi-VN"/>
              </w:rPr>
              <w:t>Tiếp thu ý kiến góp ý,</w:t>
            </w:r>
            <w:r>
              <w:rPr>
                <w:rFonts w:eastAsia="Calibri"/>
                <w:sz w:val="24"/>
              </w:rPr>
              <w:t xml:space="preserve"> Sở Tài chính đã bổ sung các nội dung chính của dự thảo Nghị quyết và các điểm mới so với quy định hiện hành.</w:t>
            </w:r>
          </w:p>
          <w:p w14:paraId="04E9F623" w14:textId="61073B17" w:rsidR="0039209F" w:rsidRPr="0039209F" w:rsidRDefault="007F5A89" w:rsidP="002B0391">
            <w:pPr>
              <w:spacing w:before="40"/>
              <w:jc w:val="both"/>
              <w:rPr>
                <w:rFonts w:eastAsia="Calibri"/>
                <w:sz w:val="24"/>
              </w:rPr>
            </w:pPr>
            <w:r w:rsidRPr="007F5A89">
              <w:rPr>
                <w:rFonts w:eastAsia="Calibri"/>
                <w:sz w:val="24"/>
              </w:rPr>
              <w:t>Đồng thời, đối với nhóm tiêu chí xác định dự án cần triển khai ngay, sẽ tiếp tục nghiên cứu, cụ thể hóa theo hướng kết hợp tiêu chí định tính và định lượng, gắn với yêu cầu về tính cấp bách, hiệu quả kinh tế - xã hội và khả năng huy động nguồn lực, nhằm hạn chế tối đa cách hiểu và áp dụng không thống nhất trong thực tiễn.</w:t>
            </w:r>
          </w:p>
        </w:tc>
      </w:tr>
      <w:tr w:rsidR="00F9589D" w:rsidRPr="00E26B3F" w14:paraId="2BBA1AB7" w14:textId="77777777" w:rsidTr="00F9589D">
        <w:tc>
          <w:tcPr>
            <w:tcW w:w="568" w:type="dxa"/>
          </w:tcPr>
          <w:p w14:paraId="1748C47F" w14:textId="77777777" w:rsidR="00F9589D" w:rsidRPr="00E5334C" w:rsidRDefault="00F9589D" w:rsidP="002B0391">
            <w:pPr>
              <w:spacing w:before="40"/>
              <w:jc w:val="center"/>
              <w:rPr>
                <w:rFonts w:eastAsia="Calibri"/>
                <w:sz w:val="24"/>
                <w:highlight w:val="yellow"/>
              </w:rPr>
            </w:pPr>
          </w:p>
        </w:tc>
        <w:tc>
          <w:tcPr>
            <w:tcW w:w="2693" w:type="dxa"/>
          </w:tcPr>
          <w:p w14:paraId="5DA6F8D4" w14:textId="30C330BB" w:rsidR="00F9589D" w:rsidRPr="00E5334C" w:rsidRDefault="00656DAA" w:rsidP="002B0391">
            <w:pPr>
              <w:spacing w:before="40"/>
              <w:jc w:val="both"/>
              <w:rPr>
                <w:rFonts w:eastAsia="Calibri"/>
                <w:sz w:val="24"/>
                <w:highlight w:val="yellow"/>
              </w:rPr>
            </w:pPr>
            <w:r w:rsidRPr="00656DAA">
              <w:rPr>
                <w:rFonts w:eastAsia="Calibri"/>
                <w:sz w:val="24"/>
              </w:rPr>
              <w:t>Về nguồn lực thực hiện</w:t>
            </w:r>
          </w:p>
        </w:tc>
        <w:tc>
          <w:tcPr>
            <w:tcW w:w="5670" w:type="dxa"/>
          </w:tcPr>
          <w:p w14:paraId="00B51924" w14:textId="780C445B" w:rsidR="00C80788" w:rsidRPr="00C80788" w:rsidRDefault="00C80788" w:rsidP="00C80788">
            <w:pPr>
              <w:spacing w:before="40"/>
              <w:jc w:val="both"/>
              <w:rPr>
                <w:rFonts w:eastAsia="Calibri"/>
                <w:sz w:val="24"/>
                <w:lang w:val="vi-VN"/>
              </w:rPr>
            </w:pPr>
            <w:r w:rsidRPr="00C80788">
              <w:rPr>
                <w:rFonts w:eastAsia="Calibri"/>
                <w:sz w:val="24"/>
                <w:lang w:val="vi-VN"/>
              </w:rPr>
              <w:t>Phần nguồn lực thực hiện đã bước đầu xác định được các yếu tố cơ bản về</w:t>
            </w:r>
            <w:r>
              <w:rPr>
                <w:rFonts w:eastAsia="Calibri"/>
                <w:sz w:val="24"/>
              </w:rPr>
              <w:t xml:space="preserve"> </w:t>
            </w:r>
            <w:r w:rsidRPr="00C80788">
              <w:rPr>
                <w:rFonts w:eastAsia="Calibri"/>
                <w:sz w:val="24"/>
                <w:lang w:val="vi-VN"/>
              </w:rPr>
              <w:t>nhân lực và kinh phí để triển khai Nghị quyết, phù hợp với yêu cầu chung của việ</w:t>
            </w:r>
            <w:r>
              <w:rPr>
                <w:rFonts w:eastAsia="Calibri"/>
                <w:sz w:val="24"/>
                <w:lang w:val="vi-VN"/>
              </w:rPr>
              <w:t>c</w:t>
            </w:r>
            <w:r>
              <w:rPr>
                <w:rFonts w:eastAsia="Calibri"/>
                <w:sz w:val="24"/>
              </w:rPr>
              <w:t xml:space="preserve"> </w:t>
            </w:r>
            <w:r w:rsidRPr="00C80788">
              <w:rPr>
                <w:rFonts w:eastAsia="Calibri"/>
                <w:sz w:val="24"/>
                <w:lang w:val="vi-VN"/>
              </w:rPr>
              <w:t>ban hành văn bản quy phạm pháp luật.</w:t>
            </w:r>
          </w:p>
          <w:p w14:paraId="05B41A9C" w14:textId="6BC1B23B" w:rsidR="00F9589D" w:rsidRPr="009614F9" w:rsidRDefault="00C80788" w:rsidP="00C80788">
            <w:pPr>
              <w:spacing w:before="40"/>
              <w:jc w:val="both"/>
              <w:rPr>
                <w:rFonts w:eastAsia="Calibri"/>
                <w:sz w:val="24"/>
              </w:rPr>
            </w:pPr>
            <w:r w:rsidRPr="00C80788">
              <w:rPr>
                <w:rFonts w:eastAsia="Calibri"/>
                <w:sz w:val="24"/>
                <w:lang w:val="vi-VN"/>
              </w:rPr>
              <w:t>Tuy nhiên, nội dung còn mang tính khái quát, chưa đánh giá đầy đủ nhu cầ</w:t>
            </w:r>
            <w:r>
              <w:rPr>
                <w:rFonts w:eastAsia="Calibri"/>
                <w:sz w:val="24"/>
                <w:lang w:val="vi-VN"/>
              </w:rPr>
              <w:t>u</w:t>
            </w:r>
            <w:r>
              <w:rPr>
                <w:rFonts w:eastAsia="Calibri"/>
                <w:sz w:val="24"/>
              </w:rPr>
              <w:t xml:space="preserve"> </w:t>
            </w:r>
            <w:r w:rsidRPr="00C80788">
              <w:rPr>
                <w:rFonts w:eastAsia="Calibri"/>
                <w:sz w:val="24"/>
                <w:lang w:val="vi-VN"/>
              </w:rPr>
              <w:t>nguồn lực phát sinh trong quá trình tổ chức thực hiện, đặc biệ</w:t>
            </w:r>
            <w:r>
              <w:rPr>
                <w:rFonts w:eastAsia="Calibri"/>
                <w:sz w:val="24"/>
                <w:lang w:val="vi-VN"/>
              </w:rPr>
              <w:t>t là các chi phí liên</w:t>
            </w:r>
            <w:r>
              <w:rPr>
                <w:rFonts w:eastAsia="Calibri"/>
                <w:sz w:val="24"/>
              </w:rPr>
              <w:t xml:space="preserve"> </w:t>
            </w:r>
            <w:r w:rsidRPr="00C80788">
              <w:rPr>
                <w:rFonts w:eastAsia="Calibri"/>
                <w:sz w:val="24"/>
                <w:lang w:val="vi-VN"/>
              </w:rPr>
              <w:t>quan đến cải cách thủ tục hành chính, hiện đại hóa quy trình xử lý hồ</w:t>
            </w:r>
            <w:r>
              <w:rPr>
                <w:rFonts w:eastAsia="Calibri"/>
                <w:sz w:val="24"/>
                <w:lang w:val="vi-VN"/>
              </w:rPr>
              <w:t xml:space="preserve"> sơ, cũng như</w:t>
            </w:r>
            <w:r>
              <w:rPr>
                <w:rFonts w:eastAsia="Calibri"/>
                <w:sz w:val="24"/>
              </w:rPr>
              <w:t xml:space="preserve"> </w:t>
            </w:r>
            <w:r w:rsidRPr="00C80788">
              <w:rPr>
                <w:rFonts w:eastAsia="Calibri"/>
                <w:sz w:val="24"/>
                <w:lang w:val="vi-VN"/>
              </w:rPr>
              <w:t>ứng dụng công nghệ thông tin và chuyển đổi số trong quản lý đầu t</w:t>
            </w:r>
            <w:r>
              <w:rPr>
                <w:rFonts w:eastAsia="Calibri"/>
                <w:sz w:val="24"/>
                <w:lang w:val="vi-VN"/>
              </w:rPr>
              <w:t>ư. Đây là các</w:t>
            </w:r>
            <w:r>
              <w:rPr>
                <w:rFonts w:eastAsia="Calibri"/>
                <w:sz w:val="24"/>
              </w:rPr>
              <w:t xml:space="preserve"> </w:t>
            </w:r>
            <w:r w:rsidRPr="00C80788">
              <w:rPr>
                <w:rFonts w:eastAsia="Calibri"/>
                <w:sz w:val="24"/>
                <w:lang w:val="vi-VN"/>
              </w:rPr>
              <w:t>yếu tố quan trọng có ảnh hưởng trực tiếp đến tính khả thi và hiệu quả thực thi củ</w:t>
            </w:r>
            <w:r>
              <w:rPr>
                <w:rFonts w:eastAsia="Calibri"/>
                <w:sz w:val="24"/>
                <w:lang w:val="vi-VN"/>
              </w:rPr>
              <w:t>a</w:t>
            </w:r>
            <w:r>
              <w:rPr>
                <w:rFonts w:eastAsia="Calibri"/>
                <w:sz w:val="24"/>
              </w:rPr>
              <w:t xml:space="preserve"> </w:t>
            </w:r>
            <w:r w:rsidRPr="00C80788">
              <w:rPr>
                <w:rFonts w:eastAsia="Calibri"/>
                <w:sz w:val="24"/>
                <w:lang w:val="vi-VN"/>
              </w:rPr>
              <w:t>Nghị quyết, do đó cần được nghiên cứu, bổ sung và làm rõ hơn trong hồ sơ trình</w:t>
            </w:r>
            <w:r w:rsidR="009614F9">
              <w:rPr>
                <w:rFonts w:eastAsia="Calibri"/>
                <w:sz w:val="24"/>
              </w:rPr>
              <w:t>.</w:t>
            </w:r>
          </w:p>
        </w:tc>
        <w:tc>
          <w:tcPr>
            <w:tcW w:w="5245" w:type="dxa"/>
          </w:tcPr>
          <w:p w14:paraId="680874B3" w14:textId="04669851" w:rsidR="00AB6088" w:rsidRPr="00AB6088" w:rsidRDefault="00AB6088" w:rsidP="00AB6088">
            <w:pPr>
              <w:spacing w:before="40"/>
              <w:jc w:val="both"/>
              <w:rPr>
                <w:rFonts w:eastAsia="Calibri"/>
                <w:sz w:val="24"/>
                <w:lang w:val="vi-VN"/>
              </w:rPr>
            </w:pPr>
            <w:r w:rsidRPr="00AB6088">
              <w:rPr>
                <w:rFonts w:eastAsia="Calibri"/>
                <w:sz w:val="24"/>
                <w:lang w:val="vi-VN"/>
              </w:rPr>
              <w:t>Tiếp thu ý kiến góp ý, cơ quan soạn thảo thống nhất rằng nội dung về nguồn lực thực hiện cần được rà soát, bổ sung và làm rõ hơn theo hướng đánh giá đầy đủ các chi phí phát sinh trong quá trình tổ chức triển khai Nghị quyết, bảo đảm tính khả thi và hiệu quả thực thi chính sách.</w:t>
            </w:r>
          </w:p>
          <w:p w14:paraId="5996AA92" w14:textId="12459378" w:rsidR="00AB6088" w:rsidRPr="00AB6088" w:rsidRDefault="00AB6088" w:rsidP="00AB6088">
            <w:pPr>
              <w:spacing w:before="40"/>
              <w:jc w:val="both"/>
              <w:rPr>
                <w:rFonts w:eastAsia="Calibri"/>
                <w:sz w:val="24"/>
                <w:lang w:val="vi-VN"/>
              </w:rPr>
            </w:pPr>
            <w:r w:rsidRPr="00AB6088">
              <w:rPr>
                <w:rFonts w:eastAsia="Calibri"/>
                <w:sz w:val="24"/>
                <w:lang w:val="vi-VN"/>
              </w:rPr>
              <w:t>Trong quá trình xây dựng dự thảo, cơ quan soạn thảo đã xác định sơ bộ nguồn lực thực hiện trên cơ sở nhân lực hiện có của các cơ quan chuyên môn và khả năng cân đối ngân sách theo phân cấp hiện hành, phù hợp với yêu cầu chung của việc ban hành văn bản quy phạm pháp luật. Tuy nhiên, việc lượng hóa chi tiết các nhu cầu nguồn lực, đặc biệt là chi phí phục vụ cải cách thủ tục hành chính, hiện đại hóa quy trình xử lý hồ sơ, xây dựng hệ thống thông tin và ứng dụng chuyển đổi số trong quản lý đầu tư, chưa được phân tích đầy đủ do phụ thuộc vào lộ trình triển khai cụ thể của từng nhóm nhiệm vụ.</w:t>
            </w:r>
          </w:p>
          <w:p w14:paraId="696D9355" w14:textId="693BB018" w:rsidR="00F9589D" w:rsidRPr="0020441F" w:rsidRDefault="00AB6088" w:rsidP="00AB6088">
            <w:pPr>
              <w:spacing w:before="40"/>
              <w:jc w:val="both"/>
              <w:rPr>
                <w:rFonts w:eastAsia="Calibri"/>
                <w:color w:val="FF0000"/>
                <w:sz w:val="24"/>
              </w:rPr>
            </w:pPr>
            <w:r w:rsidRPr="00AB6088">
              <w:rPr>
                <w:rFonts w:eastAsia="Calibri"/>
                <w:sz w:val="24"/>
                <w:lang w:val="vi-VN"/>
              </w:rPr>
              <w:t xml:space="preserve">Trên cơ sở tiếp thu ý kiến, </w:t>
            </w:r>
            <w:r w:rsidR="008317E4">
              <w:rPr>
                <w:rFonts w:eastAsia="Calibri"/>
                <w:sz w:val="24"/>
              </w:rPr>
              <w:t xml:space="preserve">trong quá trình triển khai Nghị quyết, </w:t>
            </w:r>
            <w:r w:rsidRPr="00AB6088">
              <w:rPr>
                <w:rFonts w:eastAsia="Calibri"/>
                <w:sz w:val="24"/>
                <w:lang w:val="vi-VN"/>
              </w:rPr>
              <w:t>cơ quan soạn thảo sẽ phối hợp với các đơn vị liên quan tiếp tục rà soát, xác định rõ hơn nhu cầu nguồn lực trong từng giai đoạn thực hiện, đồng thời đề xuất phương án bố trí, huy động và sử dụng nguồn lực phù hợp, bảo đảm tiết kiệm, hiệu quả, ưu tiên cho các nhiệm vụ chuyển đổi số và cải cách thủ tục hành chính, nhằm nâng cao tính khả thi và hiệu quả triển khai Nghị quyết trong thực tiễn.</w:t>
            </w:r>
          </w:p>
        </w:tc>
      </w:tr>
      <w:tr w:rsidR="00F9589D" w:rsidRPr="00E26B3F" w14:paraId="373F0737" w14:textId="77777777" w:rsidTr="00F9589D">
        <w:tc>
          <w:tcPr>
            <w:tcW w:w="568" w:type="dxa"/>
          </w:tcPr>
          <w:p w14:paraId="175B4FB9" w14:textId="65D04B04" w:rsidR="00F9589D" w:rsidRPr="00750B6E" w:rsidRDefault="007928D9" w:rsidP="002B0391">
            <w:pPr>
              <w:spacing w:before="40"/>
              <w:jc w:val="center"/>
              <w:rPr>
                <w:rFonts w:eastAsia="Calibri"/>
                <w:sz w:val="24"/>
                <w:highlight w:val="yellow"/>
              </w:rPr>
            </w:pPr>
            <w:r>
              <w:rPr>
                <w:rFonts w:eastAsia="Calibri"/>
                <w:sz w:val="24"/>
                <w:highlight w:val="yellow"/>
              </w:rPr>
              <w:t>2</w:t>
            </w:r>
          </w:p>
        </w:tc>
        <w:tc>
          <w:tcPr>
            <w:tcW w:w="2693" w:type="dxa"/>
          </w:tcPr>
          <w:p w14:paraId="250E3B8F" w14:textId="684E9652" w:rsidR="00F9589D" w:rsidRPr="00750B6E" w:rsidRDefault="007928D9" w:rsidP="002B0391">
            <w:pPr>
              <w:spacing w:before="40"/>
              <w:jc w:val="both"/>
              <w:rPr>
                <w:rFonts w:eastAsia="Calibri"/>
                <w:sz w:val="24"/>
                <w:highlight w:val="yellow"/>
              </w:rPr>
            </w:pPr>
            <w:r w:rsidRPr="007928D9">
              <w:rPr>
                <w:rFonts w:eastAsia="Calibri"/>
                <w:sz w:val="24"/>
              </w:rPr>
              <w:t>Về dự thảo Nghị quyế</w:t>
            </w:r>
            <w:r>
              <w:rPr>
                <w:rFonts w:eastAsia="Calibri"/>
                <w:sz w:val="24"/>
              </w:rPr>
              <w:t>t</w:t>
            </w:r>
          </w:p>
        </w:tc>
        <w:tc>
          <w:tcPr>
            <w:tcW w:w="5670" w:type="dxa"/>
          </w:tcPr>
          <w:p w14:paraId="34561D73" w14:textId="02B8D36C" w:rsidR="00F9589D" w:rsidRPr="00750B6E" w:rsidRDefault="00F9589D" w:rsidP="002B0391">
            <w:pPr>
              <w:spacing w:before="40"/>
              <w:jc w:val="both"/>
              <w:rPr>
                <w:rFonts w:eastAsia="Calibri"/>
                <w:sz w:val="24"/>
                <w:highlight w:val="yellow"/>
                <w:lang w:val="vi-VN"/>
              </w:rPr>
            </w:pPr>
          </w:p>
        </w:tc>
        <w:tc>
          <w:tcPr>
            <w:tcW w:w="5245" w:type="dxa"/>
          </w:tcPr>
          <w:p w14:paraId="66B48AD5" w14:textId="04464D0B" w:rsidR="00F9589D" w:rsidRPr="00582633" w:rsidRDefault="00F9589D" w:rsidP="002B0391">
            <w:pPr>
              <w:spacing w:before="40"/>
              <w:jc w:val="both"/>
              <w:rPr>
                <w:rFonts w:eastAsia="Calibri"/>
                <w:sz w:val="24"/>
              </w:rPr>
            </w:pPr>
          </w:p>
        </w:tc>
      </w:tr>
      <w:tr w:rsidR="00F9589D" w:rsidRPr="00E26B3F" w14:paraId="65868B15" w14:textId="77777777" w:rsidTr="00F9589D">
        <w:tc>
          <w:tcPr>
            <w:tcW w:w="568" w:type="dxa"/>
          </w:tcPr>
          <w:p w14:paraId="3928ECBE" w14:textId="63D9A4EF" w:rsidR="00F9589D" w:rsidRPr="00750B6E" w:rsidRDefault="00A21489" w:rsidP="002B0391">
            <w:pPr>
              <w:spacing w:before="40"/>
              <w:jc w:val="center"/>
              <w:rPr>
                <w:rFonts w:eastAsia="Calibri"/>
                <w:sz w:val="24"/>
                <w:highlight w:val="yellow"/>
              </w:rPr>
            </w:pPr>
            <w:r>
              <w:rPr>
                <w:rFonts w:eastAsia="Calibri"/>
                <w:sz w:val="24"/>
                <w:highlight w:val="yellow"/>
              </w:rPr>
              <w:t>2.1</w:t>
            </w:r>
          </w:p>
        </w:tc>
        <w:tc>
          <w:tcPr>
            <w:tcW w:w="2693" w:type="dxa"/>
          </w:tcPr>
          <w:p w14:paraId="720F0EA3" w14:textId="67576A06" w:rsidR="00F9589D" w:rsidRPr="00750B6E" w:rsidRDefault="00FB7E38" w:rsidP="002B0391">
            <w:pPr>
              <w:spacing w:before="40"/>
              <w:jc w:val="both"/>
              <w:rPr>
                <w:rFonts w:eastAsia="Calibri"/>
                <w:sz w:val="24"/>
                <w:highlight w:val="yellow"/>
              </w:rPr>
            </w:pPr>
            <w:r w:rsidRPr="00FB7E38">
              <w:rPr>
                <w:rFonts w:eastAsia="Calibri"/>
                <w:sz w:val="24"/>
              </w:rPr>
              <w:t>Về căn cứ pháp lý</w:t>
            </w:r>
          </w:p>
        </w:tc>
        <w:tc>
          <w:tcPr>
            <w:tcW w:w="5670" w:type="dxa"/>
          </w:tcPr>
          <w:p w14:paraId="4E611C79" w14:textId="3E4B0C51" w:rsidR="00FB7E38" w:rsidRPr="00FB7E38" w:rsidRDefault="00FB7E38" w:rsidP="00FB7E38">
            <w:pPr>
              <w:spacing w:before="40"/>
              <w:jc w:val="both"/>
              <w:rPr>
                <w:rFonts w:eastAsia="Calibri"/>
                <w:sz w:val="24"/>
                <w:lang w:val="vi-VN"/>
              </w:rPr>
            </w:pPr>
            <w:r w:rsidRPr="00FB7E38">
              <w:rPr>
                <w:rFonts w:eastAsia="Calibri"/>
                <w:sz w:val="24"/>
                <w:lang w:val="vi-VN"/>
              </w:rPr>
              <w:t>Đề nghị cơ quan soạn thảo tiến hành rà soát toàn bộ hệ thống văn bả</w:t>
            </w:r>
            <w:r>
              <w:rPr>
                <w:rFonts w:eastAsia="Calibri"/>
                <w:sz w:val="24"/>
                <w:lang w:val="vi-VN"/>
              </w:rPr>
              <w:t>n quy</w:t>
            </w:r>
            <w:r>
              <w:rPr>
                <w:rFonts w:eastAsia="Calibri"/>
                <w:sz w:val="24"/>
              </w:rPr>
              <w:t xml:space="preserve"> </w:t>
            </w:r>
            <w:r w:rsidRPr="00FB7E38">
              <w:rPr>
                <w:rFonts w:eastAsia="Calibri"/>
                <w:sz w:val="24"/>
                <w:lang w:val="vi-VN"/>
              </w:rPr>
              <w:t xml:space="preserve">phạm pháp luật được sử dụng làm căn </w:t>
            </w:r>
            <w:r w:rsidRPr="00FB7E38">
              <w:rPr>
                <w:rFonts w:eastAsia="Calibri"/>
                <w:sz w:val="24"/>
                <w:lang w:val="vi-VN"/>
              </w:rPr>
              <w:lastRenderedPageBreak/>
              <w:t>cứ pháp lý trong dự thảo Nghị quyết nhằ</w:t>
            </w:r>
            <w:r>
              <w:rPr>
                <w:rFonts w:eastAsia="Calibri"/>
                <w:sz w:val="24"/>
                <w:lang w:val="vi-VN"/>
              </w:rPr>
              <w:t>m</w:t>
            </w:r>
            <w:r>
              <w:rPr>
                <w:rFonts w:eastAsia="Calibri"/>
                <w:sz w:val="24"/>
              </w:rPr>
              <w:t xml:space="preserve"> </w:t>
            </w:r>
            <w:r w:rsidRPr="00FB7E38">
              <w:rPr>
                <w:rFonts w:eastAsia="Calibri"/>
                <w:sz w:val="24"/>
                <w:lang w:val="vi-VN"/>
              </w:rPr>
              <w:t>bảo đảm tính chính xác, đầy đủ và thống nhất, cụ thể bao gồm: số hiệu văn bả</w:t>
            </w:r>
            <w:r>
              <w:rPr>
                <w:rFonts w:eastAsia="Calibri"/>
                <w:sz w:val="24"/>
                <w:lang w:val="vi-VN"/>
              </w:rPr>
              <w:t>n</w:t>
            </w:r>
            <w:r>
              <w:rPr>
                <w:rFonts w:eastAsia="Calibri"/>
                <w:sz w:val="24"/>
              </w:rPr>
              <w:t xml:space="preserve"> </w:t>
            </w:r>
            <w:r w:rsidRPr="00FB7E38">
              <w:rPr>
                <w:rFonts w:eastAsia="Calibri"/>
                <w:sz w:val="24"/>
                <w:lang w:val="vi-VN"/>
              </w:rPr>
              <w:t>quy phạm pháp luật; tên gọi đầy đủ của luật, nghị định, nghị quyết; thời điể</w:t>
            </w:r>
            <w:r>
              <w:rPr>
                <w:rFonts w:eastAsia="Calibri"/>
                <w:sz w:val="24"/>
                <w:lang w:val="vi-VN"/>
              </w:rPr>
              <w:t>m ban</w:t>
            </w:r>
            <w:r>
              <w:rPr>
                <w:rFonts w:eastAsia="Calibri"/>
                <w:sz w:val="24"/>
              </w:rPr>
              <w:t xml:space="preserve"> </w:t>
            </w:r>
            <w:r w:rsidRPr="00FB7E38">
              <w:rPr>
                <w:rFonts w:eastAsia="Calibri"/>
                <w:sz w:val="24"/>
                <w:lang w:val="vi-VN"/>
              </w:rPr>
              <w:t>hành và thời điểm có hiệu lực thi hành; các nội dung sửa đổi, bổ sung (nế</w:t>
            </w:r>
            <w:r>
              <w:rPr>
                <w:rFonts w:eastAsia="Calibri"/>
                <w:sz w:val="24"/>
                <w:lang w:val="vi-VN"/>
              </w:rPr>
              <w:t>u có),</w:t>
            </w:r>
            <w:r>
              <w:rPr>
                <w:rFonts w:eastAsia="Calibri"/>
                <w:sz w:val="24"/>
              </w:rPr>
              <w:t xml:space="preserve"> </w:t>
            </w:r>
            <w:r w:rsidRPr="00FB7E38">
              <w:rPr>
                <w:rFonts w:eastAsia="Calibri"/>
                <w:sz w:val="24"/>
                <w:lang w:val="vi-VN"/>
              </w:rPr>
              <w:t>đặc biệt là các luật đã được sửa đổi nhiều lần.</w:t>
            </w:r>
          </w:p>
          <w:p w14:paraId="665A1D2D" w14:textId="49CBD913" w:rsidR="00F9589D" w:rsidRPr="00FB7E38" w:rsidRDefault="00FB7E38" w:rsidP="00FB7E38">
            <w:pPr>
              <w:spacing w:before="40"/>
              <w:jc w:val="both"/>
              <w:rPr>
                <w:rFonts w:eastAsia="Calibri"/>
                <w:sz w:val="24"/>
              </w:rPr>
            </w:pPr>
            <w:r w:rsidRPr="00FB7E38">
              <w:rPr>
                <w:rFonts w:eastAsia="Calibri"/>
                <w:sz w:val="24"/>
                <w:lang w:val="vi-VN"/>
              </w:rPr>
              <w:t>Việc rà soát này nhằm bảo đảm việc viện dẫn căn cứ pháp lý trong dự thả</w:t>
            </w:r>
            <w:r>
              <w:rPr>
                <w:rFonts w:eastAsia="Calibri"/>
                <w:sz w:val="24"/>
                <w:lang w:val="vi-VN"/>
              </w:rPr>
              <w:t>o</w:t>
            </w:r>
            <w:r>
              <w:rPr>
                <w:rFonts w:eastAsia="Calibri"/>
                <w:sz w:val="24"/>
              </w:rPr>
              <w:t xml:space="preserve"> </w:t>
            </w:r>
            <w:r w:rsidRPr="00FB7E38">
              <w:rPr>
                <w:rFonts w:eastAsia="Calibri"/>
                <w:sz w:val="24"/>
                <w:lang w:val="vi-VN"/>
              </w:rPr>
              <w:t>được thực hiện đúng quy định về kỹ thuật lập pháp, tránh tình trạng dẫn chiế</w:t>
            </w:r>
            <w:r>
              <w:rPr>
                <w:rFonts w:eastAsia="Calibri"/>
                <w:sz w:val="24"/>
                <w:lang w:val="vi-VN"/>
              </w:rPr>
              <w:t>u</w:t>
            </w:r>
            <w:r>
              <w:rPr>
                <w:rFonts w:eastAsia="Calibri"/>
                <w:sz w:val="24"/>
              </w:rPr>
              <w:t xml:space="preserve"> </w:t>
            </w:r>
            <w:r w:rsidRPr="00FB7E38">
              <w:rPr>
                <w:rFonts w:eastAsia="Calibri"/>
                <w:sz w:val="24"/>
                <w:lang w:val="vi-VN"/>
              </w:rPr>
              <w:t>không chính xác, dẫn chiếu nhầm hoặc dẫn chiếu đến văn bản đã hết hiệu lực, từ</w:t>
            </w:r>
            <w:r>
              <w:rPr>
                <w:rFonts w:eastAsia="Calibri"/>
                <w:sz w:val="24"/>
              </w:rPr>
              <w:t xml:space="preserve"> </w:t>
            </w:r>
            <w:r w:rsidRPr="00FB7E38">
              <w:rPr>
                <w:rFonts w:eastAsia="Calibri"/>
                <w:sz w:val="24"/>
                <w:lang w:val="vi-VN"/>
              </w:rPr>
              <w:t>đó ảnh hưởng đến tính hợp pháp và tính khả thi của Nghị quyết sau khi ban hành</w:t>
            </w:r>
            <w:r>
              <w:rPr>
                <w:rFonts w:eastAsia="Calibri"/>
                <w:sz w:val="24"/>
              </w:rPr>
              <w:t>.</w:t>
            </w:r>
          </w:p>
        </w:tc>
        <w:tc>
          <w:tcPr>
            <w:tcW w:w="5245" w:type="dxa"/>
          </w:tcPr>
          <w:p w14:paraId="2A1E3FE9" w14:textId="586B13EE" w:rsidR="00F9589D" w:rsidRPr="008A297A" w:rsidRDefault="00FF2416" w:rsidP="002B0391">
            <w:pPr>
              <w:spacing w:before="40"/>
              <w:jc w:val="both"/>
              <w:rPr>
                <w:rFonts w:eastAsia="Calibri"/>
                <w:sz w:val="24"/>
              </w:rPr>
            </w:pPr>
            <w:r>
              <w:rPr>
                <w:rFonts w:eastAsia="Calibri"/>
                <w:sz w:val="24"/>
              </w:rPr>
              <w:lastRenderedPageBreak/>
              <w:t>Tiếp thu ý kiến, Sở Tài chính đã rà soát hoàn thiện dự thảo</w:t>
            </w:r>
          </w:p>
        </w:tc>
      </w:tr>
      <w:tr w:rsidR="00F9589D" w:rsidRPr="00E26B3F" w14:paraId="686BB847" w14:textId="77777777" w:rsidTr="00F9589D">
        <w:tc>
          <w:tcPr>
            <w:tcW w:w="568" w:type="dxa"/>
          </w:tcPr>
          <w:p w14:paraId="4754277B" w14:textId="668AFDFC" w:rsidR="00F9589D" w:rsidRPr="00C644B1" w:rsidRDefault="00A21489" w:rsidP="002B0391">
            <w:pPr>
              <w:spacing w:before="40"/>
              <w:jc w:val="center"/>
              <w:rPr>
                <w:rFonts w:eastAsia="Calibri"/>
                <w:sz w:val="24"/>
                <w:highlight w:val="yellow"/>
              </w:rPr>
            </w:pPr>
            <w:r>
              <w:rPr>
                <w:rFonts w:eastAsia="Calibri"/>
                <w:sz w:val="24"/>
                <w:highlight w:val="yellow"/>
              </w:rPr>
              <w:lastRenderedPageBreak/>
              <w:t>2.2</w:t>
            </w:r>
          </w:p>
        </w:tc>
        <w:tc>
          <w:tcPr>
            <w:tcW w:w="2693" w:type="dxa"/>
          </w:tcPr>
          <w:p w14:paraId="027B715B" w14:textId="117E7D9A" w:rsidR="00F9589D" w:rsidRPr="00C644B1" w:rsidRDefault="002C5E4A" w:rsidP="002B0391">
            <w:pPr>
              <w:spacing w:before="40"/>
              <w:jc w:val="both"/>
              <w:rPr>
                <w:rFonts w:eastAsia="Calibri"/>
                <w:sz w:val="24"/>
                <w:highlight w:val="yellow"/>
              </w:rPr>
            </w:pPr>
            <w:r w:rsidRPr="002C5E4A">
              <w:rPr>
                <w:rFonts w:eastAsia="Calibri"/>
                <w:sz w:val="24"/>
              </w:rPr>
              <w:t>Về phạm vi điều chỉnh (Điều 1)</w:t>
            </w:r>
          </w:p>
        </w:tc>
        <w:tc>
          <w:tcPr>
            <w:tcW w:w="5670" w:type="dxa"/>
          </w:tcPr>
          <w:p w14:paraId="74A42E56" w14:textId="12974D78" w:rsidR="00F9589D" w:rsidRPr="005C436F" w:rsidRDefault="005C436F" w:rsidP="005C436F">
            <w:pPr>
              <w:spacing w:before="40"/>
              <w:jc w:val="both"/>
              <w:rPr>
                <w:rFonts w:eastAsia="Calibri"/>
                <w:sz w:val="24"/>
                <w:lang w:val="vi-VN"/>
              </w:rPr>
            </w:pPr>
            <w:r w:rsidRPr="005C436F">
              <w:rPr>
                <w:rFonts w:eastAsia="Calibri"/>
                <w:sz w:val="24"/>
                <w:lang w:val="vi-VN"/>
              </w:rPr>
              <w:t>Khoản 1 Điều 1 của dự thảo hiện đang được quy định tương đối dài, bao</w:t>
            </w:r>
            <w:r>
              <w:rPr>
                <w:rFonts w:eastAsia="Calibri"/>
                <w:sz w:val="24"/>
              </w:rPr>
              <w:t xml:space="preserve"> </w:t>
            </w:r>
            <w:r w:rsidRPr="005C436F">
              <w:rPr>
                <w:rFonts w:eastAsia="Calibri"/>
                <w:sz w:val="24"/>
                <w:lang w:val="vi-VN"/>
              </w:rPr>
              <w:t>quát nhiều nhóm đối tượng, nhiều loại hình dự án và cơ chế áp dụ</w:t>
            </w:r>
            <w:r>
              <w:rPr>
                <w:rFonts w:eastAsia="Calibri"/>
                <w:sz w:val="24"/>
                <w:lang w:val="vi-VN"/>
              </w:rPr>
              <w:t>ng khác nhau</w:t>
            </w:r>
            <w:r>
              <w:rPr>
                <w:rFonts w:eastAsia="Calibri"/>
                <w:sz w:val="24"/>
              </w:rPr>
              <w:t xml:space="preserve"> </w:t>
            </w:r>
            <w:r w:rsidRPr="005C436F">
              <w:rPr>
                <w:rFonts w:eastAsia="Calibri"/>
                <w:sz w:val="24"/>
                <w:lang w:val="vi-VN"/>
              </w:rPr>
              <w:t>trong cùng một câu quy phạm, vì vậy thiếu tính cô động, chưa rõ ràng, mạch lạc</w:t>
            </w:r>
            <w:r>
              <w:rPr>
                <w:rFonts w:eastAsia="Calibri"/>
                <w:sz w:val="24"/>
              </w:rPr>
              <w:t xml:space="preserve"> </w:t>
            </w:r>
            <w:r w:rsidRPr="005C436F">
              <w:rPr>
                <w:rFonts w:eastAsia="Calibri"/>
                <w:sz w:val="24"/>
              </w:rPr>
              <w:t>trong kỹ thuật lập pháp. Đề nghị nghiên cứu chỉnh lý theo hướng tách bạch nội</w:t>
            </w:r>
            <w:r>
              <w:rPr>
                <w:rFonts w:eastAsia="Calibri"/>
                <w:sz w:val="24"/>
              </w:rPr>
              <w:t xml:space="preserve"> </w:t>
            </w:r>
            <w:r w:rsidRPr="005C436F">
              <w:rPr>
                <w:rFonts w:eastAsia="Calibri"/>
                <w:sz w:val="24"/>
              </w:rPr>
              <w:t>dung quy phạm thành từng nhóm đối tượng điều chỉnh riêng biệt, cụ thể theo từng</w:t>
            </w:r>
            <w:r>
              <w:rPr>
                <w:rFonts w:eastAsia="Calibri"/>
                <w:sz w:val="24"/>
              </w:rPr>
              <w:t xml:space="preserve"> </w:t>
            </w:r>
            <w:r w:rsidRPr="005C436F">
              <w:rPr>
                <w:rFonts w:eastAsia="Calibri"/>
                <w:sz w:val="24"/>
              </w:rPr>
              <w:t>loại hình dự án hoặc từng cơ chế áp dụng, thay vì quy định gộp trong một khoản.</w:t>
            </w:r>
          </w:p>
        </w:tc>
        <w:tc>
          <w:tcPr>
            <w:tcW w:w="5245" w:type="dxa"/>
          </w:tcPr>
          <w:p w14:paraId="59929BB1" w14:textId="6FB50304" w:rsidR="00F9589D" w:rsidRPr="00C644B1" w:rsidRDefault="005E6999" w:rsidP="0035670E">
            <w:pPr>
              <w:spacing w:before="40"/>
              <w:jc w:val="both"/>
              <w:rPr>
                <w:rFonts w:eastAsia="Calibri"/>
                <w:sz w:val="24"/>
              </w:rPr>
            </w:pPr>
            <w:r w:rsidRPr="005E6999">
              <w:rPr>
                <w:rFonts w:eastAsia="Calibri"/>
                <w:sz w:val="24"/>
              </w:rPr>
              <w:t xml:space="preserve">Tiếp thu ý kiến góp ý, cơ quan soạn thảo nhận thấy Khoản 1 Điều 1 của dự thảo hiện nay có phạm vi điều chỉnh tương đối rộng, bao quát nhiều nhóm đối tượng và loại hình dự án khác nhau trong cùng một khoản quy phạm. </w:t>
            </w:r>
            <w:r w:rsidR="0035670E">
              <w:rPr>
                <w:rFonts w:eastAsia="Calibri"/>
                <w:sz w:val="24"/>
              </w:rPr>
              <w:t>Tuy nhiên, v</w:t>
            </w:r>
            <w:r w:rsidRPr="005E6999">
              <w:rPr>
                <w:rFonts w:eastAsia="Calibri"/>
                <w:sz w:val="24"/>
              </w:rPr>
              <w:t>iệc quy định theo hướng gộp nội dung như hiện nay nhằm bảo đảm tính khái quát, thể hiện đầy đủ phạm vi điều chỉnh chung của Nghị quyết, đồng thời tránh trùng lặp nội dung giữa các điều khoản trong toàn văn bản.</w:t>
            </w:r>
          </w:p>
        </w:tc>
      </w:tr>
      <w:tr w:rsidR="00F9589D" w:rsidRPr="00E26B3F" w14:paraId="56E00ADC" w14:textId="77777777" w:rsidTr="00F9589D">
        <w:tc>
          <w:tcPr>
            <w:tcW w:w="568" w:type="dxa"/>
          </w:tcPr>
          <w:p w14:paraId="53CF4AC5" w14:textId="2BD0A8DE" w:rsidR="00F9589D" w:rsidRPr="00C644B1" w:rsidRDefault="006D3C82" w:rsidP="002B0391">
            <w:pPr>
              <w:spacing w:before="40"/>
              <w:jc w:val="center"/>
              <w:rPr>
                <w:rFonts w:eastAsia="Calibri"/>
                <w:sz w:val="24"/>
                <w:highlight w:val="yellow"/>
              </w:rPr>
            </w:pPr>
            <w:r>
              <w:rPr>
                <w:rFonts w:eastAsia="Calibri"/>
                <w:sz w:val="24"/>
                <w:highlight w:val="yellow"/>
              </w:rPr>
              <w:t>2.3</w:t>
            </w:r>
          </w:p>
        </w:tc>
        <w:tc>
          <w:tcPr>
            <w:tcW w:w="2693" w:type="dxa"/>
          </w:tcPr>
          <w:p w14:paraId="527445C0" w14:textId="38663F4D" w:rsidR="00F9589D" w:rsidRPr="00C644B1" w:rsidRDefault="00AA3B33" w:rsidP="002B0391">
            <w:pPr>
              <w:spacing w:before="40"/>
              <w:jc w:val="both"/>
              <w:rPr>
                <w:rFonts w:eastAsia="Calibri"/>
                <w:sz w:val="24"/>
                <w:highlight w:val="yellow"/>
                <w:lang w:val="vi-VN"/>
              </w:rPr>
            </w:pPr>
            <w:r w:rsidRPr="00AA3B33">
              <w:rPr>
                <w:rFonts w:eastAsia="Calibri"/>
                <w:sz w:val="24"/>
                <w:lang w:val="vi-VN"/>
              </w:rPr>
              <w:t>Về dự án lớn, quan trọng (Điều 3)</w:t>
            </w:r>
          </w:p>
        </w:tc>
        <w:tc>
          <w:tcPr>
            <w:tcW w:w="5670" w:type="dxa"/>
          </w:tcPr>
          <w:p w14:paraId="4D8DEE64" w14:textId="58193002" w:rsidR="00F9589D" w:rsidRPr="00AA3B33" w:rsidRDefault="00AA3B33" w:rsidP="00AA3B33">
            <w:pPr>
              <w:spacing w:before="40"/>
              <w:jc w:val="both"/>
              <w:rPr>
                <w:rFonts w:eastAsia="Calibri"/>
                <w:sz w:val="24"/>
                <w:lang w:val="vi-VN"/>
              </w:rPr>
            </w:pPr>
            <w:r w:rsidRPr="00AA3B33">
              <w:rPr>
                <w:rFonts w:eastAsia="Calibri"/>
                <w:sz w:val="24"/>
                <w:lang w:val="vi-VN"/>
              </w:rPr>
              <w:t>Dự thảo hiện đã đưa ra khái niệm “dự án lớn, quan trọng”, tuy nhiên nộ</w:t>
            </w:r>
            <w:r>
              <w:rPr>
                <w:rFonts w:eastAsia="Calibri"/>
                <w:sz w:val="24"/>
                <w:lang w:val="vi-VN"/>
              </w:rPr>
              <w:t>i</w:t>
            </w:r>
            <w:r>
              <w:rPr>
                <w:rFonts w:eastAsia="Calibri"/>
                <w:sz w:val="24"/>
              </w:rPr>
              <w:t xml:space="preserve"> </w:t>
            </w:r>
            <w:r w:rsidRPr="00AA3B33">
              <w:rPr>
                <w:rFonts w:eastAsia="Calibri"/>
                <w:sz w:val="24"/>
                <w:lang w:val="vi-VN"/>
              </w:rPr>
              <w:t>dung quy định còn mang tính khái quát, chưa làm rõ đầy đủ các yếu tố</w:t>
            </w:r>
            <w:r>
              <w:rPr>
                <w:rFonts w:eastAsia="Calibri"/>
                <w:sz w:val="24"/>
                <w:lang w:val="vi-VN"/>
              </w:rPr>
              <w:t xml:space="preserve"> pháp lý</w:t>
            </w:r>
            <w:r>
              <w:rPr>
                <w:rFonts w:eastAsia="Calibri"/>
                <w:sz w:val="24"/>
              </w:rPr>
              <w:t xml:space="preserve"> </w:t>
            </w:r>
            <w:r w:rsidRPr="00AA3B33">
              <w:rPr>
                <w:rFonts w:eastAsia="Calibri"/>
                <w:sz w:val="24"/>
                <w:lang w:val="vi-VN"/>
              </w:rPr>
              <w:t>liên quan. Đề nghị bổ sung, làm rõ theo hướng xác định đây là mộ</w:t>
            </w:r>
            <w:r>
              <w:rPr>
                <w:rFonts w:eastAsia="Calibri"/>
                <w:sz w:val="24"/>
                <w:lang w:val="vi-VN"/>
              </w:rPr>
              <w:t>t tiêu chí pháp</w:t>
            </w:r>
            <w:r>
              <w:rPr>
                <w:rFonts w:eastAsia="Calibri"/>
                <w:sz w:val="24"/>
              </w:rPr>
              <w:t xml:space="preserve"> </w:t>
            </w:r>
            <w:r w:rsidRPr="00AA3B33">
              <w:rPr>
                <w:rFonts w:eastAsia="Calibri"/>
                <w:sz w:val="24"/>
                <w:lang w:val="vi-VN"/>
              </w:rPr>
              <w:t>lý làm căn cứ để áp dụng cơ chế đặc thù. Việc làm rõ nội hàm và hệ quả</w:t>
            </w:r>
            <w:r>
              <w:rPr>
                <w:rFonts w:eastAsia="Calibri"/>
                <w:sz w:val="24"/>
                <w:lang w:val="vi-VN"/>
              </w:rPr>
              <w:t xml:space="preserve"> pháp lý</w:t>
            </w:r>
            <w:r>
              <w:rPr>
                <w:rFonts w:eastAsia="Calibri"/>
                <w:sz w:val="24"/>
              </w:rPr>
              <w:t xml:space="preserve"> </w:t>
            </w:r>
            <w:r w:rsidRPr="00AA3B33">
              <w:rPr>
                <w:rFonts w:eastAsia="Calibri"/>
                <w:sz w:val="24"/>
                <w:lang w:val="vi-VN"/>
              </w:rPr>
              <w:t>của khái niệm này là cần thiết nhằm bảo đảm tính minh bạch, hạn chế cách hiể</w:t>
            </w:r>
            <w:r>
              <w:rPr>
                <w:rFonts w:eastAsia="Calibri"/>
                <w:sz w:val="24"/>
                <w:lang w:val="vi-VN"/>
              </w:rPr>
              <w:t>u</w:t>
            </w:r>
            <w:r>
              <w:rPr>
                <w:rFonts w:eastAsia="Calibri"/>
                <w:sz w:val="24"/>
              </w:rPr>
              <w:t xml:space="preserve"> </w:t>
            </w:r>
            <w:r w:rsidRPr="00AA3B33">
              <w:rPr>
                <w:rFonts w:eastAsia="Calibri"/>
                <w:sz w:val="24"/>
                <w:lang w:val="vi-VN"/>
              </w:rPr>
              <w:t>tùy nghi và nâng cao tính khả thi trong tổ chức thực hiện.</w:t>
            </w:r>
          </w:p>
        </w:tc>
        <w:tc>
          <w:tcPr>
            <w:tcW w:w="5245" w:type="dxa"/>
          </w:tcPr>
          <w:p w14:paraId="3264C95A" w14:textId="2D741F99" w:rsidR="00A76E7C" w:rsidRPr="00A76E7C" w:rsidRDefault="00EB2A6F" w:rsidP="00A76E7C">
            <w:pPr>
              <w:spacing w:before="40"/>
              <w:jc w:val="both"/>
              <w:rPr>
                <w:rFonts w:eastAsia="Calibri"/>
                <w:sz w:val="24"/>
              </w:rPr>
            </w:pPr>
            <w:r>
              <w:rPr>
                <w:rFonts w:eastAsia="Calibri"/>
                <w:sz w:val="24"/>
              </w:rPr>
              <w:t>T</w:t>
            </w:r>
            <w:r w:rsidR="00A76E7C" w:rsidRPr="00A76E7C">
              <w:rPr>
                <w:rFonts w:eastAsia="Calibri"/>
                <w:sz w:val="24"/>
              </w:rPr>
              <w:t>iếp thu ý kiến góp ý, cơ quan soạn thảo thống nhất rằng việc sử dụng khái niệm “dự án lớn, quan trọng” trong dự thảo cần được làm rõ hơn về nội hàm và tiêu chí áp dụng nhằm bảo đảm tính minh bạch, thống nhất trong quá trình thực hiện.</w:t>
            </w:r>
          </w:p>
          <w:p w14:paraId="58FF5801" w14:textId="19E8BEE5" w:rsidR="00F9589D" w:rsidRPr="00FD3462" w:rsidRDefault="00A76E7C" w:rsidP="00A76E7C">
            <w:pPr>
              <w:spacing w:before="40"/>
              <w:jc w:val="both"/>
              <w:rPr>
                <w:rFonts w:eastAsia="Calibri"/>
                <w:sz w:val="24"/>
              </w:rPr>
            </w:pPr>
            <w:r w:rsidRPr="00A76E7C">
              <w:rPr>
                <w:rFonts w:eastAsia="Calibri"/>
                <w:sz w:val="24"/>
              </w:rPr>
              <w:t xml:space="preserve">Trên cơ sở tiếp thu ý kiến, cơ quan soạn thảo </w:t>
            </w:r>
            <w:r>
              <w:rPr>
                <w:rFonts w:eastAsia="Calibri"/>
                <w:sz w:val="24"/>
              </w:rPr>
              <w:t>đã</w:t>
            </w:r>
            <w:r w:rsidRPr="00A76E7C">
              <w:rPr>
                <w:rFonts w:eastAsia="Calibri"/>
                <w:sz w:val="24"/>
              </w:rPr>
              <w:t xml:space="preserve"> nghiên cứu, bổ sung theo hướng xác định “dự án lớn, quan trọng” là tiêu chí pháp lý để áp dụng cơ chế đặc thù, đồng thời làm rõ các yếu tố xác định như quy mô vốn, tính chất tác động kinh tế - xã hội, mức độ ảnh </w:t>
            </w:r>
            <w:r w:rsidRPr="00A76E7C">
              <w:rPr>
                <w:rFonts w:eastAsia="Calibri"/>
                <w:sz w:val="24"/>
              </w:rPr>
              <w:lastRenderedPageBreak/>
              <w:t>hưởng đến phát triển không gian đô thị và yêu cầu về tiến độ triển khai. Việc bổ sung này nhằm bảo đảm tính minh bạch, hạn chế tùy nghi trong áp dụng và nâng cao tính khả thi, thống nhất trong tổ chức thực hiện Nghị quyết.</w:t>
            </w:r>
          </w:p>
        </w:tc>
      </w:tr>
      <w:tr w:rsidR="00F9589D" w:rsidRPr="00E26B3F" w14:paraId="109976CD" w14:textId="77777777" w:rsidTr="00F9589D">
        <w:tc>
          <w:tcPr>
            <w:tcW w:w="568" w:type="dxa"/>
          </w:tcPr>
          <w:p w14:paraId="6DD77767" w14:textId="5FA65F19" w:rsidR="00F9589D" w:rsidRPr="00216F8F" w:rsidRDefault="00B54705" w:rsidP="00B54705">
            <w:pPr>
              <w:spacing w:before="40"/>
              <w:jc w:val="center"/>
              <w:rPr>
                <w:rFonts w:eastAsia="Calibri"/>
                <w:sz w:val="24"/>
                <w:highlight w:val="yellow"/>
              </w:rPr>
            </w:pPr>
            <w:r>
              <w:rPr>
                <w:rFonts w:eastAsia="Calibri"/>
                <w:sz w:val="24"/>
                <w:highlight w:val="yellow"/>
              </w:rPr>
              <w:lastRenderedPageBreak/>
              <w:t>2.4</w:t>
            </w:r>
          </w:p>
        </w:tc>
        <w:tc>
          <w:tcPr>
            <w:tcW w:w="2693" w:type="dxa"/>
          </w:tcPr>
          <w:p w14:paraId="7E0C9078" w14:textId="717A25AE" w:rsidR="00F9589D" w:rsidRPr="00216F8F" w:rsidRDefault="00821597" w:rsidP="002B0391">
            <w:pPr>
              <w:spacing w:before="40"/>
              <w:jc w:val="both"/>
              <w:rPr>
                <w:rFonts w:eastAsia="Calibri"/>
                <w:sz w:val="24"/>
                <w:highlight w:val="yellow"/>
              </w:rPr>
            </w:pPr>
            <w:r w:rsidRPr="00821597">
              <w:rPr>
                <w:rFonts w:eastAsia="Calibri"/>
                <w:sz w:val="24"/>
              </w:rPr>
              <w:t>Về nguyên tắc chung (Điều 4)</w:t>
            </w:r>
          </w:p>
        </w:tc>
        <w:tc>
          <w:tcPr>
            <w:tcW w:w="5670" w:type="dxa"/>
          </w:tcPr>
          <w:p w14:paraId="065BDD6F" w14:textId="67CB200B" w:rsidR="00843BC8" w:rsidRPr="00843BC8" w:rsidRDefault="00843BC8" w:rsidP="00843BC8">
            <w:pPr>
              <w:spacing w:before="40"/>
              <w:jc w:val="both"/>
              <w:rPr>
                <w:rFonts w:eastAsia="Calibri"/>
                <w:sz w:val="24"/>
                <w:lang w:val="vi-VN"/>
              </w:rPr>
            </w:pPr>
            <w:r w:rsidRPr="00843BC8">
              <w:rPr>
                <w:rFonts w:eastAsia="Calibri"/>
                <w:sz w:val="24"/>
                <w:lang w:val="vi-VN"/>
              </w:rPr>
              <w:t>Đề nghị cơ quan soạn thảo nghiên cứu bổ sung nguyên tắc mang tính kiể</w:t>
            </w:r>
            <w:r>
              <w:rPr>
                <w:rFonts w:eastAsia="Calibri"/>
                <w:sz w:val="24"/>
                <w:lang w:val="vi-VN"/>
              </w:rPr>
              <w:t>m</w:t>
            </w:r>
            <w:r>
              <w:rPr>
                <w:rFonts w:eastAsia="Calibri"/>
                <w:sz w:val="24"/>
              </w:rPr>
              <w:t xml:space="preserve"> </w:t>
            </w:r>
            <w:r w:rsidRPr="00843BC8">
              <w:rPr>
                <w:rFonts w:eastAsia="Calibri"/>
                <w:sz w:val="24"/>
                <w:lang w:val="vi-VN"/>
              </w:rPr>
              <w:t>soát thủ tục hành chính, “Không làm phát sinh thủ tục hành chính trái với hoặ</w:t>
            </w:r>
            <w:r>
              <w:rPr>
                <w:rFonts w:eastAsia="Calibri"/>
                <w:sz w:val="24"/>
                <w:lang w:val="vi-VN"/>
              </w:rPr>
              <w:t>c</w:t>
            </w:r>
            <w:r>
              <w:rPr>
                <w:rFonts w:eastAsia="Calibri"/>
                <w:sz w:val="24"/>
              </w:rPr>
              <w:t xml:space="preserve"> </w:t>
            </w:r>
            <w:r w:rsidRPr="00843BC8">
              <w:rPr>
                <w:rFonts w:eastAsia="Calibri"/>
                <w:sz w:val="24"/>
                <w:lang w:val="vi-VN"/>
              </w:rPr>
              <w:t>vượt quá quy định của luật”, quy định này có ý nghĩa quan trọng trong việ</w:t>
            </w:r>
            <w:r>
              <w:rPr>
                <w:rFonts w:eastAsia="Calibri"/>
                <w:sz w:val="24"/>
                <w:lang w:val="vi-VN"/>
              </w:rPr>
              <w:t>c xác</w:t>
            </w:r>
            <w:r>
              <w:rPr>
                <w:rFonts w:eastAsia="Calibri"/>
                <w:sz w:val="24"/>
              </w:rPr>
              <w:t xml:space="preserve"> </w:t>
            </w:r>
            <w:r w:rsidRPr="00843BC8">
              <w:rPr>
                <w:rFonts w:eastAsia="Calibri"/>
                <w:sz w:val="24"/>
                <w:lang w:val="vi-VN"/>
              </w:rPr>
              <w:t>lập ranh giới pháp lý giữa cơ chế đặc thù của Nghị quyết và hệ thống pháp luậ</w:t>
            </w:r>
            <w:r>
              <w:rPr>
                <w:rFonts w:eastAsia="Calibri"/>
                <w:sz w:val="24"/>
                <w:lang w:val="vi-VN"/>
              </w:rPr>
              <w:t>t</w:t>
            </w:r>
            <w:r>
              <w:rPr>
                <w:rFonts w:eastAsia="Calibri"/>
                <w:sz w:val="24"/>
              </w:rPr>
              <w:t xml:space="preserve"> </w:t>
            </w:r>
            <w:r w:rsidRPr="00843BC8">
              <w:rPr>
                <w:rFonts w:eastAsia="Calibri"/>
                <w:sz w:val="24"/>
                <w:lang w:val="vi-VN"/>
              </w:rPr>
              <w:t>hiện hành. Việc bổ sung nguyên tắc này là cần thiết, bởi trong thực tiễn áp dụ</w:t>
            </w:r>
            <w:r>
              <w:rPr>
                <w:rFonts w:eastAsia="Calibri"/>
                <w:sz w:val="24"/>
                <w:lang w:val="vi-VN"/>
              </w:rPr>
              <w:t>ng</w:t>
            </w:r>
            <w:r>
              <w:rPr>
                <w:rFonts w:eastAsia="Calibri"/>
                <w:sz w:val="24"/>
              </w:rPr>
              <w:t xml:space="preserve"> </w:t>
            </w:r>
            <w:r w:rsidRPr="00843BC8">
              <w:rPr>
                <w:rFonts w:eastAsia="Calibri"/>
                <w:sz w:val="24"/>
                <w:lang w:val="vi-VN"/>
              </w:rPr>
              <w:t>các cơ chế đặc thù, nếu không có “hàng rào kỹ thuật” kiểm soát thủ tục, có thể</w:t>
            </w:r>
            <w:r>
              <w:rPr>
                <w:rFonts w:eastAsia="Calibri"/>
                <w:sz w:val="24"/>
              </w:rPr>
              <w:t xml:space="preserve"> </w:t>
            </w:r>
            <w:r w:rsidRPr="00843BC8">
              <w:rPr>
                <w:rFonts w:eastAsia="Calibri"/>
                <w:sz w:val="24"/>
                <w:lang w:val="vi-VN"/>
              </w:rPr>
              <w:t>phát sinh tình trạng kéo dài thời gian xử lý do yêu cầu bổ sung hồ sơ không cầ</w:t>
            </w:r>
            <w:r>
              <w:rPr>
                <w:rFonts w:eastAsia="Calibri"/>
                <w:sz w:val="24"/>
                <w:lang w:val="vi-VN"/>
              </w:rPr>
              <w:t>n</w:t>
            </w:r>
            <w:r>
              <w:rPr>
                <w:rFonts w:eastAsia="Calibri"/>
                <w:sz w:val="24"/>
              </w:rPr>
              <w:t xml:space="preserve"> </w:t>
            </w:r>
            <w:r w:rsidRPr="00843BC8">
              <w:rPr>
                <w:rFonts w:eastAsia="Calibri"/>
                <w:sz w:val="24"/>
                <w:lang w:val="vi-VN"/>
              </w:rPr>
              <w:t>thiết, làm sai lệch mục tiêu cải cách thủ tục hành chính ban đầu của Nghị quyế</w:t>
            </w:r>
            <w:r>
              <w:rPr>
                <w:rFonts w:eastAsia="Calibri"/>
                <w:sz w:val="24"/>
                <w:lang w:val="vi-VN"/>
              </w:rPr>
              <w:t>t,</w:t>
            </w:r>
            <w:r>
              <w:rPr>
                <w:rFonts w:eastAsia="Calibri"/>
                <w:sz w:val="24"/>
              </w:rPr>
              <w:t xml:space="preserve"> </w:t>
            </w:r>
            <w:r w:rsidRPr="00843BC8">
              <w:rPr>
                <w:rFonts w:eastAsia="Calibri"/>
                <w:sz w:val="24"/>
                <w:lang w:val="vi-VN"/>
              </w:rPr>
              <w:t>phát sinh rủi ro pháp lý trong thanh tra, kiểm tra, kiểm toán nhà nước.</w:t>
            </w:r>
          </w:p>
          <w:p w14:paraId="244C2598" w14:textId="24F680AC" w:rsidR="00F9589D" w:rsidRPr="00843BC8" w:rsidRDefault="00843BC8" w:rsidP="00843BC8">
            <w:pPr>
              <w:spacing w:before="40"/>
              <w:jc w:val="both"/>
              <w:rPr>
                <w:rFonts w:eastAsia="Calibri"/>
                <w:sz w:val="24"/>
                <w:lang w:val="vi-VN"/>
              </w:rPr>
            </w:pPr>
            <w:r w:rsidRPr="00843BC8">
              <w:rPr>
                <w:rFonts w:eastAsia="Calibri"/>
                <w:sz w:val="24"/>
                <w:lang w:val="vi-VN"/>
              </w:rPr>
              <w:t>Do đó, nguyên tắc nêu trên vừa có ý nghĩa định hướng, vừa có ý nghĩa “giới</w:t>
            </w:r>
            <w:r>
              <w:rPr>
                <w:rFonts w:eastAsia="Calibri"/>
                <w:sz w:val="24"/>
              </w:rPr>
              <w:t xml:space="preserve"> </w:t>
            </w:r>
            <w:r w:rsidRPr="00843BC8">
              <w:rPr>
                <w:rFonts w:eastAsia="Calibri"/>
                <w:sz w:val="24"/>
                <w:lang w:val="vi-VN"/>
              </w:rPr>
              <w:t>hạn quyền lực hành chính”, góp phần bảo đảm tính an toàn pháp lý trong quá trình</w:t>
            </w:r>
            <w:r>
              <w:rPr>
                <w:rFonts w:eastAsia="Calibri"/>
                <w:sz w:val="24"/>
              </w:rPr>
              <w:t xml:space="preserve"> </w:t>
            </w:r>
            <w:r w:rsidRPr="00843BC8">
              <w:rPr>
                <w:rFonts w:eastAsia="Calibri"/>
                <w:sz w:val="24"/>
                <w:lang w:val="vi-VN"/>
              </w:rPr>
              <w:t>triển khai thực hiện</w:t>
            </w:r>
          </w:p>
        </w:tc>
        <w:tc>
          <w:tcPr>
            <w:tcW w:w="5245" w:type="dxa"/>
          </w:tcPr>
          <w:p w14:paraId="6F85575F" w14:textId="055166FD" w:rsidR="00B727D9" w:rsidRPr="00B727D9" w:rsidRDefault="00B727D9" w:rsidP="00B727D9">
            <w:pPr>
              <w:spacing w:before="40"/>
              <w:jc w:val="both"/>
              <w:rPr>
                <w:rFonts w:eastAsia="Calibri"/>
                <w:sz w:val="24"/>
                <w:lang w:val="vi-VN"/>
              </w:rPr>
            </w:pPr>
            <w:r w:rsidRPr="00B727D9">
              <w:rPr>
                <w:rFonts w:eastAsia="Calibri"/>
                <w:sz w:val="24"/>
                <w:lang w:val="vi-VN"/>
              </w:rPr>
              <w:t>Việc chưa quy định nguyên tắc “không làm phát sinh thủ tục hành chính trái với hoặc vượt quá quy định của luật” là phù hợp với tính chất và mục tiêu của dự thảo Nghị quyế</w:t>
            </w:r>
            <w:r>
              <w:rPr>
                <w:rFonts w:eastAsia="Calibri"/>
                <w:sz w:val="24"/>
                <w:lang w:val="vi-VN"/>
              </w:rPr>
              <w:t>t.</w:t>
            </w:r>
          </w:p>
          <w:p w14:paraId="67B666AD" w14:textId="752B744F" w:rsidR="00B727D9" w:rsidRPr="00B727D9" w:rsidRDefault="00B727D9" w:rsidP="00B727D9">
            <w:pPr>
              <w:spacing w:before="40"/>
              <w:jc w:val="both"/>
              <w:rPr>
                <w:rFonts w:eastAsia="Calibri"/>
                <w:sz w:val="24"/>
                <w:lang w:val="vi-VN"/>
              </w:rPr>
            </w:pPr>
            <w:r w:rsidRPr="00B727D9">
              <w:rPr>
                <w:rFonts w:eastAsia="Calibri"/>
                <w:sz w:val="24"/>
                <w:lang w:val="vi-VN"/>
              </w:rPr>
              <w:t>Theo đó, dự thảo đã được xây dựng trên cơ sở Luật Thủ đô năm 2026 và các luật có liên quan, trong đó chỉ quy định cơ chế đặc thù nhằm rút gọn, đơn giản hóa và tăng tính linh hoạt trong quyết định, chấp thuận chủ trương đầu tư, lựa chọn nhà đầu tư, nhà thầu. Các quy định về trình tự, thủ tục trong dự thảo đều theo hướng kế thừa, lược bỏ các bước trung gian không cần thiết, đồng thời phân cấp mạnh cho cơ quan có thẩm quyền của Thành phố, do đó về bản chất đã bảo đảm mục tiêu kiểm soát và không làm phát sinh thủ tục hành chính ngoài quy định của luật.</w:t>
            </w:r>
          </w:p>
          <w:p w14:paraId="184B0207" w14:textId="5B8DE1CC" w:rsidR="00F9589D" w:rsidRPr="00B727D9" w:rsidRDefault="00B727D9" w:rsidP="00B727D9">
            <w:pPr>
              <w:spacing w:before="40"/>
              <w:jc w:val="both"/>
              <w:rPr>
                <w:rFonts w:eastAsia="Calibri"/>
                <w:sz w:val="24"/>
                <w:lang w:val="vi-VN"/>
              </w:rPr>
            </w:pPr>
            <w:r w:rsidRPr="00B727D9">
              <w:rPr>
                <w:rFonts w:eastAsia="Calibri"/>
                <w:sz w:val="24"/>
                <w:lang w:val="vi-VN"/>
              </w:rPr>
              <w:t>Bên cạnh đó, việc bổ sung thêm một nguyên tắc mang tính “khẳng định lại” như đề xuất có thể làm trùng lặp với nguyên tắc chung của hệ thống pháp luật về xây dựng, ban hành văn bản quy phạm pháp luật và nguyên tắc tuân thủ luật khi quy định thủ tục hành chính. Vì vậy, việc không bổ sung nội dung này giúp bảo đảm tính gọn, tránh trùng lặp và giữ tính tập trung của Nghị quyết vào các cơ chế đặc thù cần thiết cho quản lý đầu tư trên địa bàn Thành phố.</w:t>
            </w:r>
          </w:p>
        </w:tc>
      </w:tr>
      <w:tr w:rsidR="00F9589D" w:rsidRPr="00E26B3F" w14:paraId="1D6BA14B" w14:textId="77777777" w:rsidTr="00F9589D">
        <w:tc>
          <w:tcPr>
            <w:tcW w:w="568" w:type="dxa"/>
          </w:tcPr>
          <w:p w14:paraId="264E9545" w14:textId="58336110" w:rsidR="00F9589D" w:rsidRPr="00C644B1" w:rsidRDefault="007628D9" w:rsidP="002B0391">
            <w:pPr>
              <w:spacing w:before="40"/>
              <w:jc w:val="center"/>
              <w:rPr>
                <w:rFonts w:eastAsia="Calibri"/>
                <w:sz w:val="24"/>
                <w:highlight w:val="yellow"/>
              </w:rPr>
            </w:pPr>
            <w:r>
              <w:rPr>
                <w:rFonts w:eastAsia="Calibri"/>
                <w:sz w:val="24"/>
                <w:highlight w:val="yellow"/>
              </w:rPr>
              <w:t>2.5</w:t>
            </w:r>
          </w:p>
        </w:tc>
        <w:tc>
          <w:tcPr>
            <w:tcW w:w="2693" w:type="dxa"/>
          </w:tcPr>
          <w:p w14:paraId="2FC12F11" w14:textId="7109373C" w:rsidR="00F9589D" w:rsidRPr="00C644B1" w:rsidRDefault="007628D9" w:rsidP="002B0391">
            <w:pPr>
              <w:spacing w:before="40"/>
              <w:jc w:val="both"/>
              <w:rPr>
                <w:rFonts w:eastAsia="Calibri"/>
                <w:sz w:val="24"/>
                <w:highlight w:val="yellow"/>
                <w:lang w:val="vi-VN"/>
              </w:rPr>
            </w:pPr>
            <w:r w:rsidRPr="007628D9">
              <w:rPr>
                <w:rFonts w:eastAsia="Calibri"/>
                <w:sz w:val="24"/>
                <w:lang w:val="vi-VN"/>
              </w:rPr>
              <w:t>Về thời gian thẩm định hồ sơ</w:t>
            </w:r>
          </w:p>
        </w:tc>
        <w:tc>
          <w:tcPr>
            <w:tcW w:w="5670" w:type="dxa"/>
          </w:tcPr>
          <w:p w14:paraId="4FEF0D86" w14:textId="2E530696" w:rsidR="00E541E2" w:rsidRPr="00E541E2" w:rsidRDefault="00E541E2" w:rsidP="00E541E2">
            <w:pPr>
              <w:spacing w:before="40"/>
              <w:jc w:val="both"/>
              <w:rPr>
                <w:rFonts w:eastAsia="Calibri"/>
                <w:sz w:val="24"/>
                <w:lang w:val="vi-VN"/>
              </w:rPr>
            </w:pPr>
            <w:r w:rsidRPr="00E541E2">
              <w:rPr>
                <w:rFonts w:eastAsia="Calibri"/>
                <w:sz w:val="24"/>
                <w:lang w:val="vi-VN"/>
              </w:rPr>
              <w:t>Dự thảo quy định một số thời hạn thẩm định tương đối ngắn, phổ biế</w:t>
            </w:r>
            <w:r>
              <w:rPr>
                <w:rFonts w:eastAsia="Calibri"/>
                <w:sz w:val="24"/>
                <w:lang w:val="vi-VN"/>
              </w:rPr>
              <w:t>n như</w:t>
            </w:r>
            <w:r>
              <w:rPr>
                <w:rFonts w:eastAsia="Calibri"/>
                <w:sz w:val="24"/>
              </w:rPr>
              <w:t xml:space="preserve"> </w:t>
            </w:r>
            <w:r w:rsidRPr="00E541E2">
              <w:rPr>
                <w:rFonts w:eastAsia="Calibri"/>
                <w:sz w:val="24"/>
                <w:lang w:val="vi-VN"/>
              </w:rPr>
              <w:t xml:space="preserve">10 ngày hoặc 20 ngày làm việc. Tuy </w:t>
            </w:r>
            <w:r w:rsidRPr="00E541E2">
              <w:rPr>
                <w:rFonts w:eastAsia="Calibri"/>
                <w:sz w:val="24"/>
                <w:lang w:val="vi-VN"/>
              </w:rPr>
              <w:lastRenderedPageBreak/>
              <w:t>nhiên, trong thực tiễn triển khai, các thời hạ</w:t>
            </w:r>
            <w:r>
              <w:rPr>
                <w:rFonts w:eastAsia="Calibri"/>
                <w:sz w:val="24"/>
                <w:lang w:val="vi-VN"/>
              </w:rPr>
              <w:t>n</w:t>
            </w:r>
            <w:r>
              <w:rPr>
                <w:rFonts w:eastAsia="Calibri"/>
                <w:sz w:val="24"/>
              </w:rPr>
              <w:t xml:space="preserve"> </w:t>
            </w:r>
            <w:r w:rsidRPr="00E541E2">
              <w:rPr>
                <w:rFonts w:eastAsia="Calibri"/>
                <w:sz w:val="24"/>
                <w:lang w:val="vi-VN"/>
              </w:rPr>
              <w:t>này có thể không phù hợp hoặc khó bảo đảm đối với một số loại dự án có tính chấ</w:t>
            </w:r>
            <w:r>
              <w:rPr>
                <w:rFonts w:eastAsia="Calibri"/>
                <w:sz w:val="24"/>
                <w:lang w:val="vi-VN"/>
              </w:rPr>
              <w:t>t</w:t>
            </w:r>
            <w:r>
              <w:rPr>
                <w:rFonts w:eastAsia="Calibri"/>
                <w:sz w:val="24"/>
              </w:rPr>
              <w:t xml:space="preserve"> </w:t>
            </w:r>
            <w:r w:rsidRPr="00E541E2">
              <w:rPr>
                <w:rFonts w:eastAsia="Calibri"/>
                <w:sz w:val="24"/>
                <w:lang w:val="vi-VN"/>
              </w:rPr>
              <w:t>phức tạp, như: dự án sử dụng vốn ODA hoặc vốn vay ưu đãi; dự án hạ tầng kỹ</w:t>
            </w:r>
            <w:r>
              <w:rPr>
                <w:rFonts w:eastAsia="Calibri"/>
                <w:sz w:val="24"/>
              </w:rPr>
              <w:t xml:space="preserve"> </w:t>
            </w:r>
            <w:r w:rsidRPr="00E541E2">
              <w:rPr>
                <w:rFonts w:eastAsia="Calibri"/>
                <w:sz w:val="24"/>
                <w:lang w:val="vi-VN"/>
              </w:rPr>
              <w:t>thuật quy mô lớn, liên ngành; dự án có yêu cầu kỹ thuật cao, cần lấy ý kiến nhiề</w:t>
            </w:r>
            <w:r>
              <w:rPr>
                <w:rFonts w:eastAsia="Calibri"/>
                <w:sz w:val="24"/>
                <w:lang w:val="vi-VN"/>
              </w:rPr>
              <w:t>u</w:t>
            </w:r>
            <w:r>
              <w:rPr>
                <w:rFonts w:eastAsia="Calibri"/>
                <w:sz w:val="24"/>
              </w:rPr>
              <w:t xml:space="preserve"> </w:t>
            </w:r>
            <w:r w:rsidRPr="00E541E2">
              <w:rPr>
                <w:rFonts w:eastAsia="Calibri"/>
                <w:sz w:val="24"/>
                <w:lang w:val="vi-VN"/>
              </w:rPr>
              <w:t>cơ quan; dự án có yếu tố môi trường, đất đai, giải phóng mặt bằng phức tạp.</w:t>
            </w:r>
          </w:p>
          <w:p w14:paraId="318B66D9" w14:textId="62FD909F" w:rsidR="00F9589D" w:rsidRPr="002A2F88" w:rsidRDefault="00E541E2" w:rsidP="00E541E2">
            <w:pPr>
              <w:spacing w:before="40"/>
              <w:jc w:val="both"/>
              <w:rPr>
                <w:rFonts w:eastAsia="Calibri"/>
                <w:sz w:val="24"/>
                <w:lang w:val="vi-VN"/>
              </w:rPr>
            </w:pPr>
            <w:r w:rsidRPr="00E541E2">
              <w:rPr>
                <w:rFonts w:eastAsia="Calibri"/>
                <w:sz w:val="24"/>
                <w:lang w:val="vi-VN"/>
              </w:rPr>
              <w:t>Do đó, đề nghị cơ quan soạn thảo nghiên cứu bổ sung cơ chế linh hoạ</w:t>
            </w:r>
            <w:r>
              <w:rPr>
                <w:rFonts w:eastAsia="Calibri"/>
                <w:sz w:val="24"/>
                <w:lang w:val="vi-VN"/>
              </w:rPr>
              <w:t>t theo</w:t>
            </w:r>
            <w:r>
              <w:rPr>
                <w:rFonts w:eastAsia="Calibri"/>
                <w:sz w:val="24"/>
              </w:rPr>
              <w:t xml:space="preserve"> </w:t>
            </w:r>
            <w:r w:rsidRPr="00E541E2">
              <w:rPr>
                <w:rFonts w:eastAsia="Calibri"/>
                <w:sz w:val="24"/>
                <w:lang w:val="vi-VN"/>
              </w:rPr>
              <w:t>hướng: “Trường hợp cần thiết, cơ quan có thẩm quyền được gia hạn thờ</w:t>
            </w:r>
            <w:r>
              <w:rPr>
                <w:rFonts w:eastAsia="Calibri"/>
                <w:sz w:val="24"/>
                <w:lang w:val="vi-VN"/>
              </w:rPr>
              <w:t>i gian</w:t>
            </w:r>
            <w:r>
              <w:rPr>
                <w:rFonts w:eastAsia="Calibri"/>
                <w:sz w:val="24"/>
              </w:rPr>
              <w:t xml:space="preserve"> </w:t>
            </w:r>
            <w:r w:rsidRPr="00E541E2">
              <w:rPr>
                <w:rFonts w:eastAsia="Calibri"/>
                <w:sz w:val="24"/>
                <w:lang w:val="vi-VN"/>
              </w:rPr>
              <w:t>thẩm định một lần, nhưng không vượt quá … ngày làm việc, và phả</w:t>
            </w:r>
            <w:r>
              <w:rPr>
                <w:rFonts w:eastAsia="Calibri"/>
                <w:sz w:val="24"/>
                <w:lang w:val="vi-VN"/>
              </w:rPr>
              <w:t>i nêu rõ lý do</w:t>
            </w:r>
            <w:r>
              <w:rPr>
                <w:rFonts w:eastAsia="Calibri"/>
                <w:sz w:val="24"/>
              </w:rPr>
              <w:t xml:space="preserve"> </w:t>
            </w:r>
            <w:r w:rsidRPr="00E541E2">
              <w:rPr>
                <w:rFonts w:eastAsia="Calibri"/>
                <w:sz w:val="24"/>
                <w:lang w:val="vi-VN"/>
              </w:rPr>
              <w:t>gia hạn” nhằm bảo đảm tính cải cách thủ tục hành chính, tính khả thi trong thự</w:t>
            </w:r>
            <w:r>
              <w:rPr>
                <w:rFonts w:eastAsia="Calibri"/>
                <w:sz w:val="24"/>
                <w:lang w:val="vi-VN"/>
              </w:rPr>
              <w:t>c</w:t>
            </w:r>
            <w:r>
              <w:rPr>
                <w:rFonts w:eastAsia="Calibri"/>
                <w:sz w:val="24"/>
              </w:rPr>
              <w:t xml:space="preserve"> </w:t>
            </w:r>
            <w:r w:rsidRPr="00E541E2">
              <w:rPr>
                <w:rFonts w:eastAsia="Calibri"/>
                <w:sz w:val="24"/>
                <w:lang w:val="vi-VN"/>
              </w:rPr>
              <w:t>tiễn, tránh áp lực thời gian dẫn đến giảm chất lượng thẩm định</w:t>
            </w:r>
          </w:p>
        </w:tc>
        <w:tc>
          <w:tcPr>
            <w:tcW w:w="5245" w:type="dxa"/>
          </w:tcPr>
          <w:p w14:paraId="07DD8EE7" w14:textId="1DE1A52E" w:rsidR="008843F7" w:rsidRPr="008843F7" w:rsidRDefault="008843F7" w:rsidP="008843F7">
            <w:pPr>
              <w:spacing w:before="40"/>
              <w:jc w:val="both"/>
              <w:rPr>
                <w:rFonts w:eastAsia="Calibri"/>
                <w:sz w:val="24"/>
                <w:lang w:val="vi-VN"/>
              </w:rPr>
            </w:pPr>
            <w:r>
              <w:rPr>
                <w:rFonts w:eastAsia="Calibri"/>
                <w:sz w:val="24"/>
              </w:rPr>
              <w:lastRenderedPageBreak/>
              <w:t xml:space="preserve">Cơ quan soạn thảo xin được bảo lưu nội dung về thời hạn thẩm định. </w:t>
            </w:r>
            <w:r w:rsidRPr="008843F7">
              <w:rPr>
                <w:rFonts w:eastAsia="Calibri"/>
                <w:sz w:val="24"/>
                <w:lang w:val="vi-VN"/>
              </w:rPr>
              <w:t xml:space="preserve">Theo thiết kế của dự thảo, các thời </w:t>
            </w:r>
            <w:r w:rsidRPr="008843F7">
              <w:rPr>
                <w:rFonts w:eastAsia="Calibri"/>
                <w:sz w:val="24"/>
                <w:lang w:val="vi-VN"/>
              </w:rPr>
              <w:lastRenderedPageBreak/>
              <w:t>hạn thẩm định được quy định theo hướng rút gọn, mang tính “chuẩn hóa tối đa” đối với quy trình xử lý hồ sơ, nhằm bảo đảm tính kịp thời trong quyết định chủ trương đầu tư, đồng thời khắc phục tình trạng kéo dài thời gian xử lý hồ sơ trong thực tiễn. Đây là một trong những nội dung thể hiện rõ cơ chế đặc thù của Thành phố theo Luật Thủ đô năm 2026, gắn với yêu cầu nâng cao hiệu lực, hiệu quả quản lý nhà nước trong lĩnh vực đầu tư.</w:t>
            </w:r>
          </w:p>
          <w:p w14:paraId="4BF55285" w14:textId="59BFF1CF" w:rsidR="00F9589D" w:rsidRPr="008843F7" w:rsidRDefault="008843F7" w:rsidP="008843F7">
            <w:pPr>
              <w:spacing w:before="40"/>
              <w:jc w:val="both"/>
              <w:rPr>
                <w:rFonts w:eastAsia="Calibri"/>
                <w:sz w:val="24"/>
                <w:lang w:val="vi-VN"/>
              </w:rPr>
            </w:pPr>
            <w:r w:rsidRPr="008843F7">
              <w:rPr>
                <w:rFonts w:eastAsia="Calibri"/>
                <w:sz w:val="24"/>
                <w:lang w:val="vi-VN"/>
              </w:rPr>
              <w:t>Bên cạnh đó, việc không thiết kế cơ chế gia hạn mang tính tùy nghi giúp bảo đảm kỷ luật hành chính, tăng trách nhiệm của cơ quan thẩm định trong việc tổ chức lấy ý kiến và xử lý hồ sơ trong thời hạn luật định. Đối với các dự án có tính chất phức tạp, dự thảo đã có cơ chế linh hoạt thông qua việc phân loại dự án, tổ chức thẩm định theo Hội đồng thẩm định hoặc lấy ý kiến chuyên gia, qua đó bảo đảm chất lượng thẩm định mà không cần kéo dài thời gian theo cơ chế gia hạn riêng lẻ.</w:t>
            </w:r>
          </w:p>
        </w:tc>
      </w:tr>
      <w:tr w:rsidR="00F9589D" w:rsidRPr="007C45CB" w14:paraId="20B84B2E" w14:textId="77777777" w:rsidTr="00F9589D">
        <w:tc>
          <w:tcPr>
            <w:tcW w:w="568" w:type="dxa"/>
          </w:tcPr>
          <w:p w14:paraId="12BCAA29" w14:textId="6F5FFE28" w:rsidR="00F9589D" w:rsidRPr="009B58A3" w:rsidRDefault="000343D8" w:rsidP="002B0391">
            <w:pPr>
              <w:spacing w:before="40"/>
              <w:jc w:val="center"/>
              <w:rPr>
                <w:rFonts w:eastAsia="Calibri"/>
                <w:sz w:val="24"/>
              </w:rPr>
            </w:pPr>
            <w:r>
              <w:rPr>
                <w:rFonts w:eastAsia="Calibri"/>
                <w:sz w:val="24"/>
              </w:rPr>
              <w:lastRenderedPageBreak/>
              <w:t>2.6</w:t>
            </w:r>
          </w:p>
        </w:tc>
        <w:tc>
          <w:tcPr>
            <w:tcW w:w="2693" w:type="dxa"/>
          </w:tcPr>
          <w:p w14:paraId="6AD8A89B" w14:textId="71D64576" w:rsidR="00F9589D" w:rsidRPr="007E63B4" w:rsidRDefault="00E80A9F" w:rsidP="002B0391">
            <w:pPr>
              <w:spacing w:before="40"/>
              <w:jc w:val="both"/>
              <w:rPr>
                <w:rFonts w:eastAsia="Calibri"/>
                <w:sz w:val="24"/>
                <w:lang w:val="vi-VN"/>
              </w:rPr>
            </w:pPr>
            <w:r w:rsidRPr="00E80A9F">
              <w:rPr>
                <w:rFonts w:eastAsia="Calibri"/>
                <w:sz w:val="24"/>
                <w:lang w:val="vi-VN"/>
              </w:rPr>
              <w:t>Về quy định lựa chọn nhà đầu tư, nhà thầu trong trường hợp đặc biệt</w:t>
            </w:r>
          </w:p>
        </w:tc>
        <w:tc>
          <w:tcPr>
            <w:tcW w:w="5670" w:type="dxa"/>
          </w:tcPr>
          <w:p w14:paraId="47F2FDFB" w14:textId="58A92E11" w:rsidR="00F9589D" w:rsidRPr="007E63B4" w:rsidRDefault="0027500E" w:rsidP="0027500E">
            <w:pPr>
              <w:spacing w:before="40"/>
              <w:jc w:val="both"/>
              <w:rPr>
                <w:rFonts w:eastAsia="Calibri"/>
                <w:sz w:val="24"/>
                <w:lang w:val="vi-VN"/>
              </w:rPr>
            </w:pPr>
            <w:r w:rsidRPr="0027500E">
              <w:rPr>
                <w:rFonts w:eastAsia="Calibri"/>
                <w:sz w:val="24"/>
                <w:lang w:val="vi-VN"/>
              </w:rPr>
              <w:t>Đề nghị cơ quan soạn thảo quy định rõ ràng, chặt chẽ điều kiện áp dụ</w:t>
            </w:r>
            <w:r>
              <w:rPr>
                <w:rFonts w:eastAsia="Calibri"/>
                <w:sz w:val="24"/>
                <w:lang w:val="vi-VN"/>
              </w:rPr>
              <w:t>ng,</w:t>
            </w:r>
            <w:r>
              <w:rPr>
                <w:rFonts w:eastAsia="Calibri"/>
                <w:sz w:val="24"/>
              </w:rPr>
              <w:t xml:space="preserve"> </w:t>
            </w:r>
            <w:r w:rsidRPr="0027500E">
              <w:rPr>
                <w:rFonts w:eastAsia="Calibri"/>
                <w:sz w:val="24"/>
                <w:lang w:val="vi-VN"/>
              </w:rPr>
              <w:t>giới hạn phạm vi áp dụng trong các trường hợp thực sự cần thiết, cấp bách, bắt</w:t>
            </w:r>
            <w:r>
              <w:rPr>
                <w:rFonts w:eastAsia="Calibri"/>
                <w:sz w:val="24"/>
              </w:rPr>
              <w:t xml:space="preserve"> </w:t>
            </w:r>
            <w:r w:rsidRPr="0027500E">
              <w:rPr>
                <w:rFonts w:eastAsia="Calibri"/>
                <w:sz w:val="24"/>
                <w:lang w:val="vi-VN"/>
              </w:rPr>
              <w:t>buộc công khai, minh bạch toàn bộ thông tin lựa chọn, tăng cường cơ chế hậ</w:t>
            </w:r>
            <w:r>
              <w:rPr>
                <w:rFonts w:eastAsia="Calibri"/>
                <w:sz w:val="24"/>
                <w:lang w:val="vi-VN"/>
              </w:rPr>
              <w:t>u</w:t>
            </w:r>
            <w:r>
              <w:rPr>
                <w:rFonts w:eastAsia="Calibri"/>
                <w:sz w:val="24"/>
              </w:rPr>
              <w:t xml:space="preserve"> </w:t>
            </w:r>
            <w:r w:rsidRPr="0027500E">
              <w:rPr>
                <w:rFonts w:eastAsia="Calibri"/>
                <w:sz w:val="24"/>
                <w:lang w:val="vi-VN"/>
              </w:rPr>
              <w:t>kiểm độc lập, xác định rõ trách nhiệm cá nhân của người ra quyết đị</w:t>
            </w:r>
            <w:r>
              <w:rPr>
                <w:rFonts w:eastAsia="Calibri"/>
                <w:sz w:val="24"/>
                <w:lang w:val="vi-VN"/>
              </w:rPr>
              <w:t>nh trong</w:t>
            </w:r>
            <w:r>
              <w:rPr>
                <w:rFonts w:eastAsia="Calibri"/>
                <w:sz w:val="24"/>
              </w:rPr>
              <w:t xml:space="preserve"> </w:t>
            </w:r>
            <w:r w:rsidRPr="0027500E">
              <w:rPr>
                <w:rFonts w:eastAsia="Calibri"/>
                <w:sz w:val="24"/>
                <w:lang w:val="vi-VN"/>
              </w:rPr>
              <w:t>trường hợp xảy ra sai phạm.</w:t>
            </w:r>
          </w:p>
        </w:tc>
        <w:tc>
          <w:tcPr>
            <w:tcW w:w="5245" w:type="dxa"/>
          </w:tcPr>
          <w:p w14:paraId="27E4BA41" w14:textId="19239C8D" w:rsidR="00C11BC6" w:rsidRPr="00C11BC6" w:rsidRDefault="00C11BC6" w:rsidP="00C11BC6">
            <w:pPr>
              <w:spacing w:before="40"/>
              <w:jc w:val="both"/>
              <w:rPr>
                <w:rFonts w:eastAsia="Calibri"/>
                <w:sz w:val="24"/>
                <w:lang w:val="vi-VN"/>
              </w:rPr>
            </w:pPr>
            <w:r w:rsidRPr="00C11BC6">
              <w:rPr>
                <w:rFonts w:eastAsia="Calibri"/>
                <w:sz w:val="24"/>
                <w:lang w:val="vi-VN"/>
              </w:rPr>
              <w:t>Ý kiến nêu trên đã được cơ quan soạn thảo tiếp thu về mặt nguyên tắc trong quá trình xây dựng dự thảo, theo hướng tăng cường tính công khai, minh bạch và kiểm soát quyền lực trong lựa chọn nhà đầu tư, nhà thầu trong trường hợp đặc biệ</w:t>
            </w:r>
            <w:r>
              <w:rPr>
                <w:rFonts w:eastAsia="Calibri"/>
                <w:sz w:val="24"/>
                <w:lang w:val="vi-VN"/>
              </w:rPr>
              <w:t>t.</w:t>
            </w:r>
          </w:p>
          <w:p w14:paraId="4265DBA8" w14:textId="2388B43F" w:rsidR="00C11BC6" w:rsidRPr="00C11BC6" w:rsidRDefault="00C11BC6" w:rsidP="00C11BC6">
            <w:pPr>
              <w:spacing w:before="40"/>
              <w:jc w:val="both"/>
              <w:rPr>
                <w:rFonts w:eastAsia="Calibri"/>
                <w:sz w:val="24"/>
                <w:lang w:val="vi-VN"/>
              </w:rPr>
            </w:pPr>
            <w:r w:rsidRPr="00C11BC6">
              <w:rPr>
                <w:rFonts w:eastAsia="Calibri"/>
                <w:sz w:val="24"/>
                <w:lang w:val="vi-VN"/>
              </w:rPr>
              <w:t xml:space="preserve">Theo đó, dự thảo đã xác định rõ phạm vi áp dụng chỉ đối với các dự án đáp ứng điều kiện theo Luật Thủ đô và các trường hợp cần thiết, cấp bách, gắn với tiêu chí “dự án cần triển khai ngay”, đồng thời thiết kế cơ chế thẩm định nhiều tầng nấc thông qua cơ quan chuyên môn, Hội đồng thẩm định và người có thẩm quyền quyết định. Các bước trong quy trình đều được </w:t>
            </w:r>
            <w:r w:rsidRPr="00C11BC6">
              <w:rPr>
                <w:rFonts w:eastAsia="Calibri"/>
                <w:sz w:val="24"/>
                <w:lang w:val="vi-VN"/>
              </w:rPr>
              <w:lastRenderedPageBreak/>
              <w:t>quy định cụ thể về hồ sơ, trình tự, thời hạn và trách nhiệm của từng chủ thể tham gia, qua đó hạn chế tối đa việc áp dụ</w:t>
            </w:r>
            <w:r>
              <w:rPr>
                <w:rFonts w:eastAsia="Calibri"/>
                <w:sz w:val="24"/>
                <w:lang w:val="vi-VN"/>
              </w:rPr>
              <w:t>ng tùy nghi.</w:t>
            </w:r>
          </w:p>
          <w:p w14:paraId="5006675D" w14:textId="58A8A35B" w:rsidR="00F9589D" w:rsidRPr="007E63B4" w:rsidRDefault="00C11BC6" w:rsidP="00C11BC6">
            <w:pPr>
              <w:spacing w:before="40"/>
              <w:jc w:val="both"/>
              <w:rPr>
                <w:rFonts w:eastAsia="Calibri"/>
                <w:sz w:val="24"/>
                <w:lang w:val="vi-VN"/>
              </w:rPr>
            </w:pPr>
            <w:r w:rsidRPr="00C11BC6">
              <w:rPr>
                <w:rFonts w:eastAsia="Calibri"/>
                <w:sz w:val="24"/>
                <w:lang w:val="vi-VN"/>
              </w:rPr>
              <w:t>Bên cạnh đó, dự thảo cũng đã lồng ghép yêu cầu công khai, minh bạch thông tin trong các bước lựa chọn, đồng thời quy định rõ trách nhiệm của cơ quan, đơn vị và người có thẩm quyền trong việc thẩm định, quyết định và tổ chức thực hiện. Cơ chế kiểm tra, giám sát, thanh tra và kiểm toán tiếp tục được thực hiện theo quy định của pháp luật hiện hành, bảo đảm tính khách quan, độc lập trong hậu kiểm và làm rõ trách nhiệm cá nhân khi phát sinh sai phạm, do đó không cần thiết bổ sung thêm quy định mang tính nguyên tắc chung tại nội dung này của dự thảo.</w:t>
            </w:r>
          </w:p>
        </w:tc>
      </w:tr>
      <w:tr w:rsidR="00F9589D" w:rsidRPr="007C45CB" w14:paraId="6FEC147B" w14:textId="77777777" w:rsidTr="00F9589D">
        <w:tc>
          <w:tcPr>
            <w:tcW w:w="568" w:type="dxa"/>
          </w:tcPr>
          <w:p w14:paraId="2B6A1E1F" w14:textId="59539F51" w:rsidR="00F9589D" w:rsidRPr="007E63B4" w:rsidRDefault="0032537E" w:rsidP="002B0391">
            <w:pPr>
              <w:spacing w:before="40"/>
              <w:jc w:val="center"/>
              <w:rPr>
                <w:rFonts w:eastAsia="Calibri"/>
                <w:sz w:val="24"/>
              </w:rPr>
            </w:pPr>
            <w:r>
              <w:rPr>
                <w:rFonts w:eastAsia="Calibri"/>
                <w:sz w:val="24"/>
              </w:rPr>
              <w:lastRenderedPageBreak/>
              <w:t>2.7</w:t>
            </w:r>
          </w:p>
        </w:tc>
        <w:tc>
          <w:tcPr>
            <w:tcW w:w="2693" w:type="dxa"/>
          </w:tcPr>
          <w:p w14:paraId="59D46715" w14:textId="38C030A2" w:rsidR="00F9589D" w:rsidRPr="007E63B4" w:rsidRDefault="000F55BF" w:rsidP="002B0391">
            <w:pPr>
              <w:spacing w:before="40"/>
              <w:jc w:val="both"/>
              <w:rPr>
                <w:rFonts w:eastAsia="Calibri"/>
                <w:sz w:val="24"/>
                <w:lang w:val="nl-NL"/>
              </w:rPr>
            </w:pPr>
            <w:r w:rsidRPr="000F55BF">
              <w:rPr>
                <w:rFonts w:eastAsia="Calibri"/>
                <w:sz w:val="24"/>
                <w:lang w:val="nl-NL"/>
              </w:rPr>
              <w:t>Về lập đề xuất dự án đầu tư (Điều 17)</w:t>
            </w:r>
          </w:p>
        </w:tc>
        <w:tc>
          <w:tcPr>
            <w:tcW w:w="5670" w:type="dxa"/>
          </w:tcPr>
          <w:p w14:paraId="2BEC34E1" w14:textId="4CF9A3B7" w:rsidR="001B71B0" w:rsidRPr="001B71B0" w:rsidRDefault="001B71B0" w:rsidP="001B71B0">
            <w:pPr>
              <w:spacing w:before="40"/>
              <w:jc w:val="both"/>
              <w:rPr>
                <w:rFonts w:eastAsia="Calibri"/>
                <w:sz w:val="24"/>
                <w:lang w:val="vi-VN"/>
              </w:rPr>
            </w:pPr>
            <w:r w:rsidRPr="001B71B0">
              <w:rPr>
                <w:rFonts w:eastAsia="Calibri"/>
                <w:sz w:val="24"/>
                <w:lang w:val="vi-VN"/>
              </w:rPr>
              <w:t>- Về thành phần hồ sơ của nhà đầu tư: Hồ sơ quy định tại khoản 1 Điề</w:t>
            </w:r>
            <w:r>
              <w:rPr>
                <w:rFonts w:eastAsia="Calibri"/>
                <w:sz w:val="24"/>
                <w:lang w:val="vi-VN"/>
              </w:rPr>
              <w:t>u 17</w:t>
            </w:r>
            <w:r>
              <w:rPr>
                <w:rFonts w:eastAsia="Calibri"/>
                <w:sz w:val="24"/>
              </w:rPr>
              <w:t xml:space="preserve"> </w:t>
            </w:r>
            <w:r w:rsidRPr="001B71B0">
              <w:rPr>
                <w:rFonts w:eastAsia="Calibri"/>
                <w:sz w:val="24"/>
                <w:lang w:val="vi-VN"/>
              </w:rPr>
              <w:t>được thiết kế tương đối đầy đủ, bao quát nhiều nhóm tài liệu liên quan đế</w:t>
            </w:r>
            <w:r>
              <w:rPr>
                <w:rFonts w:eastAsia="Calibri"/>
                <w:sz w:val="24"/>
                <w:lang w:val="vi-VN"/>
              </w:rPr>
              <w:t>n năng</w:t>
            </w:r>
            <w:r>
              <w:rPr>
                <w:rFonts w:eastAsia="Calibri"/>
                <w:sz w:val="24"/>
              </w:rPr>
              <w:t xml:space="preserve"> </w:t>
            </w:r>
            <w:r w:rsidRPr="001B71B0">
              <w:rPr>
                <w:rFonts w:eastAsia="Calibri"/>
                <w:sz w:val="24"/>
                <w:lang w:val="vi-VN"/>
              </w:rPr>
              <w:t>lực pháp lý, năng lực tài chính và nội dung đề xuất dự án. Tuy nhiên, vẫn còn mộ</w:t>
            </w:r>
            <w:r>
              <w:rPr>
                <w:rFonts w:eastAsia="Calibri"/>
                <w:sz w:val="24"/>
                <w:lang w:val="vi-VN"/>
              </w:rPr>
              <w:t>t</w:t>
            </w:r>
            <w:r>
              <w:rPr>
                <w:rFonts w:eastAsia="Calibri"/>
                <w:sz w:val="24"/>
              </w:rPr>
              <w:t xml:space="preserve"> </w:t>
            </w:r>
            <w:r w:rsidRPr="001B71B0">
              <w:rPr>
                <w:rFonts w:eastAsia="Calibri"/>
                <w:sz w:val="24"/>
                <w:lang w:val="vi-VN"/>
              </w:rPr>
              <w:t>số vấn đề cần tiếp tục nghiên cứu điều chỉnh.</w:t>
            </w:r>
          </w:p>
          <w:p w14:paraId="654F1E7D" w14:textId="26EA82A9" w:rsidR="001B71B0" w:rsidRPr="001B71B0" w:rsidRDefault="001B71B0" w:rsidP="001B71B0">
            <w:pPr>
              <w:spacing w:before="40"/>
              <w:jc w:val="both"/>
              <w:rPr>
                <w:rFonts w:eastAsia="Calibri"/>
                <w:sz w:val="24"/>
                <w:lang w:val="vi-VN"/>
              </w:rPr>
            </w:pPr>
            <w:r w:rsidRPr="001B71B0">
              <w:rPr>
                <w:rFonts w:eastAsia="Calibri"/>
                <w:sz w:val="24"/>
                <w:lang w:val="vi-VN"/>
              </w:rPr>
              <w:t>Nhiều loại tài liệu đã được quy định cụ thể trong Luật Đầu tư, Luậ</w:t>
            </w:r>
            <w:r>
              <w:rPr>
                <w:rFonts w:eastAsia="Calibri"/>
                <w:sz w:val="24"/>
                <w:lang w:val="vi-VN"/>
              </w:rPr>
              <w:t>t Doanh</w:t>
            </w:r>
            <w:r>
              <w:rPr>
                <w:rFonts w:eastAsia="Calibri"/>
                <w:sz w:val="24"/>
              </w:rPr>
              <w:t xml:space="preserve"> </w:t>
            </w:r>
            <w:r w:rsidRPr="001B71B0">
              <w:rPr>
                <w:rFonts w:eastAsia="Calibri"/>
                <w:sz w:val="24"/>
                <w:lang w:val="vi-VN"/>
              </w:rPr>
              <w:t>nghiệp và Luật Đất đai nhưng vẫn tiếp tục liệt kê lại một cách chi tiết trong Nghị</w:t>
            </w:r>
            <w:r>
              <w:rPr>
                <w:rFonts w:eastAsia="Calibri"/>
                <w:sz w:val="24"/>
              </w:rPr>
              <w:t xml:space="preserve"> </w:t>
            </w:r>
            <w:r w:rsidRPr="001B71B0">
              <w:rPr>
                <w:rFonts w:eastAsia="Calibri"/>
                <w:sz w:val="24"/>
                <w:lang w:val="vi-VN"/>
              </w:rPr>
              <w:t>quyết có thể dẫn đến tình trạng trùng lặp quy phạm, làm gia tăng đáng kể nghĩa vụ</w:t>
            </w:r>
            <w:r>
              <w:rPr>
                <w:rFonts w:eastAsia="Calibri"/>
                <w:sz w:val="24"/>
              </w:rPr>
              <w:t xml:space="preserve"> </w:t>
            </w:r>
            <w:r w:rsidRPr="001B71B0">
              <w:rPr>
                <w:rFonts w:eastAsia="Calibri"/>
                <w:sz w:val="24"/>
                <w:lang w:val="vi-VN"/>
              </w:rPr>
              <w:t>tuân thủ thủ tục hành chính của nhà đầu tư, đồng thời làm giảm tính thống nhấ</w:t>
            </w:r>
            <w:r>
              <w:rPr>
                <w:rFonts w:eastAsia="Calibri"/>
                <w:sz w:val="24"/>
                <w:lang w:val="vi-VN"/>
              </w:rPr>
              <w:t>t</w:t>
            </w:r>
            <w:r>
              <w:rPr>
                <w:rFonts w:eastAsia="Calibri"/>
                <w:sz w:val="24"/>
              </w:rPr>
              <w:t xml:space="preserve"> </w:t>
            </w:r>
            <w:r w:rsidRPr="001B71B0">
              <w:rPr>
                <w:rFonts w:eastAsia="Calibri"/>
                <w:sz w:val="24"/>
                <w:lang w:val="vi-VN"/>
              </w:rPr>
              <w:t>của hệ thống pháp luật. Bên cạnh đó, một số yêu cầu trong hồ sơ, đặc biệt là nộ</w:t>
            </w:r>
            <w:r>
              <w:rPr>
                <w:rFonts w:eastAsia="Calibri"/>
                <w:sz w:val="24"/>
                <w:lang w:val="vi-VN"/>
              </w:rPr>
              <w:t>i</w:t>
            </w:r>
            <w:r>
              <w:rPr>
                <w:rFonts w:eastAsia="Calibri"/>
                <w:sz w:val="24"/>
              </w:rPr>
              <w:t xml:space="preserve"> </w:t>
            </w:r>
            <w:r w:rsidRPr="001B71B0">
              <w:rPr>
                <w:rFonts w:eastAsia="Calibri"/>
                <w:sz w:val="24"/>
                <w:lang w:val="vi-VN"/>
              </w:rPr>
              <w:t>dung “cam kết chịu mọi chi phí, rủi ro nếu dự án không được chấp thuận”, cầ</w:t>
            </w:r>
            <w:r>
              <w:rPr>
                <w:rFonts w:eastAsia="Calibri"/>
                <w:sz w:val="24"/>
                <w:lang w:val="vi-VN"/>
              </w:rPr>
              <w:t>n</w:t>
            </w:r>
            <w:r>
              <w:rPr>
                <w:rFonts w:eastAsia="Calibri"/>
                <w:sz w:val="24"/>
              </w:rPr>
              <w:t xml:space="preserve"> </w:t>
            </w:r>
            <w:r w:rsidRPr="001B71B0">
              <w:rPr>
                <w:rFonts w:eastAsia="Calibri"/>
                <w:sz w:val="24"/>
                <w:lang w:val="vi-VN"/>
              </w:rPr>
              <w:t>được xem xét lại về tính hợp lý trong giai đoạn tiền khả thi của dự án. Về bản chấ</w:t>
            </w:r>
            <w:r>
              <w:rPr>
                <w:rFonts w:eastAsia="Calibri"/>
                <w:sz w:val="24"/>
                <w:lang w:val="vi-VN"/>
              </w:rPr>
              <w:t>t</w:t>
            </w:r>
            <w:r>
              <w:rPr>
                <w:rFonts w:eastAsia="Calibri"/>
                <w:sz w:val="24"/>
              </w:rPr>
              <w:t xml:space="preserve"> </w:t>
            </w:r>
            <w:r w:rsidRPr="001B71B0">
              <w:rPr>
                <w:rFonts w:eastAsia="Calibri"/>
                <w:sz w:val="24"/>
                <w:lang w:val="vi-VN"/>
              </w:rPr>
              <w:t>pháp lý, tại thời điểm chưa có quyết định chấp thuận chủ trương đầu tư, việ</w:t>
            </w:r>
            <w:r>
              <w:rPr>
                <w:rFonts w:eastAsia="Calibri"/>
                <w:sz w:val="24"/>
                <w:lang w:val="vi-VN"/>
              </w:rPr>
              <w:t>c ràng</w:t>
            </w:r>
            <w:r>
              <w:rPr>
                <w:rFonts w:eastAsia="Calibri"/>
                <w:sz w:val="24"/>
              </w:rPr>
              <w:t xml:space="preserve"> </w:t>
            </w:r>
            <w:r w:rsidRPr="001B71B0">
              <w:rPr>
                <w:rFonts w:eastAsia="Calibri"/>
                <w:sz w:val="24"/>
                <w:lang w:val="vi-VN"/>
              </w:rPr>
              <w:t xml:space="preserve">buộc trách nhiệm theo hướng </w:t>
            </w:r>
            <w:r w:rsidRPr="001B71B0">
              <w:rPr>
                <w:rFonts w:eastAsia="Calibri"/>
                <w:sz w:val="24"/>
                <w:lang w:val="vi-VN"/>
              </w:rPr>
              <w:lastRenderedPageBreak/>
              <w:t>tuyệt đối có thể chưa phù hợp với nguyên tắ</w:t>
            </w:r>
            <w:r>
              <w:rPr>
                <w:rFonts w:eastAsia="Calibri"/>
                <w:sz w:val="24"/>
                <w:lang w:val="vi-VN"/>
              </w:rPr>
              <w:t>c bình</w:t>
            </w:r>
            <w:r>
              <w:rPr>
                <w:rFonts w:eastAsia="Calibri"/>
                <w:sz w:val="24"/>
              </w:rPr>
              <w:t xml:space="preserve"> </w:t>
            </w:r>
            <w:r w:rsidRPr="001B71B0">
              <w:rPr>
                <w:rFonts w:eastAsia="Calibri"/>
                <w:sz w:val="24"/>
                <w:lang w:val="vi-VN"/>
              </w:rPr>
              <w:t>đẳng trong tiếp cận cơ hội đầu tư và có thể phát sinh tranh chấp không cần thiết.</w:t>
            </w:r>
          </w:p>
          <w:p w14:paraId="7B4A853E" w14:textId="7BC41293" w:rsidR="001B71B0" w:rsidRPr="001B71B0" w:rsidRDefault="001B71B0" w:rsidP="001B71B0">
            <w:pPr>
              <w:spacing w:before="40"/>
              <w:jc w:val="both"/>
              <w:rPr>
                <w:rFonts w:eastAsia="Calibri"/>
                <w:sz w:val="24"/>
                <w:lang w:val="vi-VN"/>
              </w:rPr>
            </w:pPr>
            <w:r w:rsidRPr="001B71B0">
              <w:rPr>
                <w:rFonts w:eastAsia="Calibri"/>
                <w:sz w:val="24"/>
                <w:lang w:val="vi-VN"/>
              </w:rPr>
              <w:t>Do đó, đề nghị cơ quan soạn thảo rà soát theo hướng thu gọn thành phần hồ</w:t>
            </w:r>
            <w:r>
              <w:rPr>
                <w:rFonts w:eastAsia="Calibri"/>
                <w:sz w:val="24"/>
              </w:rPr>
              <w:t xml:space="preserve"> </w:t>
            </w:r>
            <w:r w:rsidRPr="001B71B0">
              <w:rPr>
                <w:rFonts w:eastAsia="Calibri"/>
                <w:sz w:val="24"/>
                <w:lang w:val="vi-VN"/>
              </w:rPr>
              <w:t>sơ, chỉ giữ lại các tài liệu mang tính đặc thù của cơ chế đặc thù Thành phố; Hạ</w:t>
            </w:r>
            <w:r>
              <w:rPr>
                <w:rFonts w:eastAsia="Calibri"/>
                <w:sz w:val="24"/>
                <w:lang w:val="vi-VN"/>
              </w:rPr>
              <w:t>n</w:t>
            </w:r>
            <w:r>
              <w:rPr>
                <w:rFonts w:eastAsia="Calibri"/>
                <w:sz w:val="24"/>
              </w:rPr>
              <w:t xml:space="preserve"> </w:t>
            </w:r>
            <w:r w:rsidRPr="001B71B0">
              <w:rPr>
                <w:rFonts w:eastAsia="Calibri"/>
                <w:sz w:val="24"/>
                <w:lang w:val="vi-VN"/>
              </w:rPr>
              <w:t>chế việc yêu cầu lặp lại các tài liệu đã được điều chỉnh tại luật chuyên ngành.</w:t>
            </w:r>
          </w:p>
          <w:p w14:paraId="573E4E5B" w14:textId="7F30C153" w:rsidR="001B71B0" w:rsidRPr="001B71B0" w:rsidRDefault="001B71B0" w:rsidP="001B71B0">
            <w:pPr>
              <w:spacing w:before="40"/>
              <w:jc w:val="both"/>
              <w:rPr>
                <w:rFonts w:eastAsia="Calibri"/>
                <w:sz w:val="24"/>
                <w:lang w:val="vi-VN"/>
              </w:rPr>
            </w:pPr>
            <w:r w:rsidRPr="001B71B0">
              <w:rPr>
                <w:rFonts w:eastAsia="Calibri"/>
                <w:sz w:val="24"/>
                <w:lang w:val="vi-VN"/>
              </w:rPr>
              <w:t>- Về nội dung “cam kết chịu mọi chi phí, rủi ro”: Quy định hiện hành sử</w:t>
            </w:r>
            <w:r>
              <w:rPr>
                <w:rFonts w:eastAsia="Calibri"/>
                <w:sz w:val="24"/>
              </w:rPr>
              <w:t xml:space="preserve"> </w:t>
            </w:r>
            <w:r w:rsidRPr="001B71B0">
              <w:rPr>
                <w:rFonts w:eastAsia="Calibri"/>
                <w:sz w:val="24"/>
                <w:lang w:val="vi-VN"/>
              </w:rPr>
              <w:t>dụng thuật ngữ “chịu mọi chi phí, rủi ro” là tương đối rộng và mang tính tuyệt đố</w:t>
            </w:r>
            <w:r>
              <w:rPr>
                <w:rFonts w:eastAsia="Calibri"/>
                <w:sz w:val="24"/>
                <w:lang w:val="vi-VN"/>
              </w:rPr>
              <w:t>i,</w:t>
            </w:r>
            <w:r>
              <w:rPr>
                <w:rFonts w:eastAsia="Calibri"/>
                <w:sz w:val="24"/>
              </w:rPr>
              <w:t xml:space="preserve"> </w:t>
            </w:r>
            <w:r w:rsidRPr="001B71B0">
              <w:rPr>
                <w:rFonts w:eastAsia="Calibri"/>
                <w:sz w:val="24"/>
                <w:lang w:val="vi-VN"/>
              </w:rPr>
              <w:t>có thể chưa phù hợp với bản chất pháp lý của giai đoạn đề xuất dự án đầu tư.</w:t>
            </w:r>
          </w:p>
          <w:p w14:paraId="5C4D09E0" w14:textId="468C6B29" w:rsidR="00F9589D" w:rsidRPr="007E63B4" w:rsidRDefault="001B71B0" w:rsidP="001B71B0">
            <w:pPr>
              <w:spacing w:before="40"/>
              <w:jc w:val="both"/>
              <w:rPr>
                <w:rFonts w:eastAsia="Calibri"/>
                <w:sz w:val="24"/>
                <w:lang w:val="vi-VN"/>
              </w:rPr>
            </w:pPr>
            <w:r w:rsidRPr="001B71B0">
              <w:rPr>
                <w:rFonts w:eastAsia="Calibri"/>
                <w:sz w:val="24"/>
                <w:lang w:val="vi-VN"/>
              </w:rPr>
              <w:t>Về mặt thực tiễn, nhà đầu tư có thể phải chịu một số chi phí chuẩn bị hồ</w:t>
            </w:r>
            <w:r>
              <w:rPr>
                <w:rFonts w:eastAsia="Calibri"/>
                <w:sz w:val="24"/>
                <w:lang w:val="vi-VN"/>
              </w:rPr>
              <w:t xml:space="preserve"> sơ,</w:t>
            </w:r>
            <w:r>
              <w:rPr>
                <w:rFonts w:eastAsia="Calibri"/>
                <w:sz w:val="24"/>
              </w:rPr>
              <w:t xml:space="preserve"> </w:t>
            </w:r>
            <w:r w:rsidRPr="001B71B0">
              <w:rPr>
                <w:rFonts w:eastAsia="Calibri"/>
                <w:sz w:val="24"/>
                <w:lang w:val="vi-VN"/>
              </w:rPr>
              <w:t>khảo sát, nghiên cứu tiền khả thi, tuy nhiên việc mở rộng sang “mọi rủi ro” có thể</w:t>
            </w:r>
            <w:r>
              <w:rPr>
                <w:rFonts w:eastAsia="Calibri"/>
                <w:sz w:val="24"/>
              </w:rPr>
              <w:t xml:space="preserve"> </w:t>
            </w:r>
            <w:r w:rsidRPr="001B71B0">
              <w:rPr>
                <w:rFonts w:eastAsia="Calibri"/>
                <w:sz w:val="24"/>
                <w:lang w:val="vi-VN"/>
              </w:rPr>
              <w:t>dẫn đến việc khó xác định phạm vi trách nhiệm, phát sinh tranh chấp trong trường</w:t>
            </w:r>
            <w:r>
              <w:rPr>
                <w:rFonts w:eastAsia="Calibri"/>
                <w:sz w:val="24"/>
              </w:rPr>
              <w:t xml:space="preserve"> </w:t>
            </w:r>
            <w:r w:rsidRPr="001B71B0">
              <w:rPr>
                <w:rFonts w:eastAsia="Calibri"/>
                <w:sz w:val="24"/>
                <w:lang w:val="vi-VN"/>
              </w:rPr>
              <w:t>hợp dự án không được phê duyệt, ảnh hưởng đến tính hấp dẫn của môi trường đầu</w:t>
            </w:r>
            <w:r>
              <w:rPr>
                <w:rFonts w:eastAsia="Calibri"/>
                <w:sz w:val="24"/>
              </w:rPr>
              <w:t xml:space="preserve"> </w:t>
            </w:r>
            <w:r w:rsidRPr="001B71B0">
              <w:rPr>
                <w:rFonts w:eastAsia="Calibri"/>
                <w:sz w:val="24"/>
                <w:lang w:val="vi-VN"/>
              </w:rPr>
              <w:t>tư. Do đó, đề nghị chỉnh sửa theo hướng quy định rõ: “Nhà đầu tư tự chị</w:t>
            </w:r>
            <w:r>
              <w:rPr>
                <w:rFonts w:eastAsia="Calibri"/>
                <w:sz w:val="24"/>
                <w:lang w:val="vi-VN"/>
              </w:rPr>
              <w:t>u các chi</w:t>
            </w:r>
            <w:r>
              <w:rPr>
                <w:rFonts w:eastAsia="Calibri"/>
                <w:sz w:val="24"/>
              </w:rPr>
              <w:t xml:space="preserve"> </w:t>
            </w:r>
            <w:r w:rsidRPr="001B71B0">
              <w:rPr>
                <w:rFonts w:eastAsia="Calibri"/>
                <w:sz w:val="24"/>
                <w:lang w:val="vi-VN"/>
              </w:rPr>
              <w:t>phí phát sinh trong quá trình chuẩn bị và lập hồ sơ đề xuất dự án trong trường hợ</w:t>
            </w:r>
            <w:r>
              <w:rPr>
                <w:rFonts w:eastAsia="Calibri"/>
                <w:sz w:val="24"/>
                <w:lang w:val="vi-VN"/>
              </w:rPr>
              <w:t>p</w:t>
            </w:r>
            <w:r>
              <w:rPr>
                <w:rFonts w:eastAsia="Calibri"/>
                <w:sz w:val="24"/>
              </w:rPr>
              <w:t xml:space="preserve"> </w:t>
            </w:r>
            <w:r w:rsidRPr="001B71B0">
              <w:rPr>
                <w:rFonts w:eastAsia="Calibri"/>
                <w:sz w:val="24"/>
                <w:lang w:val="vi-VN"/>
              </w:rPr>
              <w:t>dự án không được chấp thuận chủ trương đầu tư”.</w:t>
            </w:r>
          </w:p>
        </w:tc>
        <w:tc>
          <w:tcPr>
            <w:tcW w:w="5245" w:type="dxa"/>
          </w:tcPr>
          <w:p w14:paraId="075AFE4C" w14:textId="4C04A6E5" w:rsidR="007F56BF" w:rsidRPr="007F56BF" w:rsidRDefault="007F56BF" w:rsidP="007F56BF">
            <w:pPr>
              <w:spacing w:before="40"/>
              <w:jc w:val="both"/>
              <w:rPr>
                <w:rFonts w:eastAsia="Calibri"/>
                <w:sz w:val="24"/>
                <w:lang w:val="vi-VN"/>
              </w:rPr>
            </w:pPr>
            <w:r w:rsidRPr="007F56BF">
              <w:rPr>
                <w:rFonts w:eastAsia="Calibri"/>
                <w:sz w:val="24"/>
                <w:lang w:val="vi-VN"/>
              </w:rPr>
              <w:lastRenderedPageBreak/>
              <w:t>Về thành phần hồ sơ của nhà đầu tư, quy định tại khoản 1 Điều 17 đã được xây dựng trên cơ sở tổng hợp các yêu cầu cần thiết để phục vụ việc thẩm định năng lực pháp lý, năng lực tài chính và tính khả thi của dự án trong khuôn khổ cơ chế đặc thù. Việc quy định chi tiết một số loại tài liệu là nhằm bảo đảm tính rõ ràng, thống nhất trong áp dụng, hạn chế cách hiểu khác nhau giữa các cơ quan thẩm định, đồng thời tạo điều kiện thuận lợi cho nhà đầu tư trong việc chuẩn bị hồ sơ theo hướng “một lần, đầy đủ</w:t>
            </w:r>
            <w:r>
              <w:rPr>
                <w:rFonts w:eastAsia="Calibri"/>
                <w:sz w:val="24"/>
                <w:lang w:val="vi-VN"/>
              </w:rPr>
              <w:t>”.</w:t>
            </w:r>
          </w:p>
          <w:p w14:paraId="79B0E380" w14:textId="6518165B" w:rsidR="007F56BF" w:rsidRPr="007F56BF" w:rsidRDefault="007F56BF" w:rsidP="007F56BF">
            <w:pPr>
              <w:spacing w:before="40"/>
              <w:jc w:val="both"/>
              <w:rPr>
                <w:rFonts w:eastAsia="Calibri"/>
                <w:sz w:val="24"/>
                <w:lang w:val="vi-VN"/>
              </w:rPr>
            </w:pPr>
            <w:r w:rsidRPr="007F56BF">
              <w:rPr>
                <w:rFonts w:eastAsia="Calibri"/>
                <w:sz w:val="24"/>
                <w:lang w:val="vi-VN"/>
              </w:rPr>
              <w:t xml:space="preserve">Đối với ý kiến cho rằng có sự trùng lặp với Luật Đầu tư, Luật Doanh nghiệp và Luật Đất đai, cơ quan soạn thảo xác định các quy định tại Nghị quyết mang tính cụ thể hóa, gắn với yêu cầu đặc thù của Thành phố trong việc rút ngắn thời gian thẩm định và tăng tính sẵn sàng của hồ sơ, do đó việc lược bỏ hoặc không quy định lại có thể làm giảm tính chủ động trong quá </w:t>
            </w:r>
            <w:r w:rsidRPr="007F56BF">
              <w:rPr>
                <w:rFonts w:eastAsia="Calibri"/>
                <w:sz w:val="24"/>
                <w:lang w:val="vi-VN"/>
              </w:rPr>
              <w:lastRenderedPageBreak/>
              <w:t>trình tổ chức thực hiện. Tuy nhiên, tiếp thu ý kiến góp ý, cơ quan soạn thảo sẽ tiếp tục rà soát theo hướng hạn chế các nội dung trùng lặp thuần túy, chỉ giữ lại những tài liệu thực sự cần thiết phục vụ cơ chế thẩm định nhanh và hiệu quả</w:t>
            </w:r>
            <w:r>
              <w:rPr>
                <w:rFonts w:eastAsia="Calibri"/>
                <w:sz w:val="24"/>
                <w:lang w:val="vi-VN"/>
              </w:rPr>
              <w:t>.</w:t>
            </w:r>
          </w:p>
          <w:p w14:paraId="1280BD55" w14:textId="1214A388" w:rsidR="00F9589D" w:rsidRPr="007E63B4" w:rsidRDefault="007F56BF" w:rsidP="007F56BF">
            <w:pPr>
              <w:spacing w:before="40"/>
              <w:jc w:val="both"/>
              <w:rPr>
                <w:rFonts w:eastAsia="Calibri"/>
                <w:sz w:val="24"/>
                <w:lang w:val="vi-VN"/>
              </w:rPr>
            </w:pPr>
            <w:r w:rsidRPr="007F56BF">
              <w:rPr>
                <w:rFonts w:eastAsia="Calibri"/>
                <w:sz w:val="24"/>
                <w:lang w:val="vi-VN"/>
              </w:rPr>
              <w:t>Về nội dung “cam kết chịu mọi chi phí, rủi ro nếu dự án không được chấp thuận”, cơ quan soạn thảo thống nhất đây là nội dung cần được diễn đạt theo hướng chặt chẽ hơn về kỹ thuật pháp lý. Theo đó, mục tiêu của quy định là xác định rõ trách nhiệm của nhà đầu tư đối với các chi phí phát sinh trong quá trình chuẩn bị hồ sơ, tránh phát sinh khiếu kiện đối với Nhà nước khi dự án không được chấp thuận, chứ không nhằm mở rộng trách nhiệm theo hướng tuyệt đối. Cơ quan soạn thảo sẽ nghiên cứu chỉnh lý theo hướng quy định rõ phạm vi chi phí tự chịu của nhà đầu tư trong giai đoạn chuẩn bị dự án, bảo đảm phù hợp hơn với bản chất pháp lý của giai đoạn đề xuất đầu tư và tăng tính hấp dẫn của môi trường đầu tư.</w:t>
            </w:r>
          </w:p>
        </w:tc>
      </w:tr>
      <w:tr w:rsidR="00F9589D" w:rsidRPr="007C45CB" w14:paraId="63C6755B" w14:textId="77777777" w:rsidTr="00F9589D">
        <w:tc>
          <w:tcPr>
            <w:tcW w:w="568" w:type="dxa"/>
          </w:tcPr>
          <w:p w14:paraId="4EDAB223" w14:textId="661E2999" w:rsidR="00F9589D" w:rsidRPr="007E63B4" w:rsidRDefault="00EF21DE" w:rsidP="002B0391">
            <w:pPr>
              <w:spacing w:before="40"/>
              <w:jc w:val="center"/>
              <w:rPr>
                <w:rFonts w:eastAsia="Calibri"/>
                <w:sz w:val="24"/>
              </w:rPr>
            </w:pPr>
            <w:r>
              <w:rPr>
                <w:rFonts w:eastAsia="Calibri"/>
                <w:sz w:val="24"/>
              </w:rPr>
              <w:lastRenderedPageBreak/>
              <w:t>2.8</w:t>
            </w:r>
          </w:p>
        </w:tc>
        <w:tc>
          <w:tcPr>
            <w:tcW w:w="2693" w:type="dxa"/>
          </w:tcPr>
          <w:p w14:paraId="36F0C181" w14:textId="0178FD3E" w:rsidR="00F9589D" w:rsidRPr="008C1584" w:rsidRDefault="009D51E6" w:rsidP="002B0391">
            <w:pPr>
              <w:spacing w:before="40"/>
              <w:jc w:val="both"/>
              <w:rPr>
                <w:rFonts w:eastAsia="Calibri"/>
                <w:sz w:val="24"/>
              </w:rPr>
            </w:pPr>
            <w:r w:rsidRPr="009D51E6">
              <w:rPr>
                <w:rFonts w:eastAsia="Calibri"/>
                <w:sz w:val="24"/>
              </w:rPr>
              <w:t>Về cam kết của nhà đầu tư chiến lược (Điều 17)</w:t>
            </w:r>
          </w:p>
        </w:tc>
        <w:tc>
          <w:tcPr>
            <w:tcW w:w="5670" w:type="dxa"/>
          </w:tcPr>
          <w:p w14:paraId="2E3B3C04" w14:textId="1BF17252" w:rsidR="00950880" w:rsidRPr="00950880" w:rsidRDefault="00950880" w:rsidP="00950880">
            <w:pPr>
              <w:spacing w:before="40"/>
              <w:jc w:val="both"/>
              <w:rPr>
                <w:rFonts w:eastAsia="Calibri"/>
                <w:sz w:val="24"/>
                <w:lang w:val="vi-VN"/>
              </w:rPr>
            </w:pPr>
            <w:r w:rsidRPr="00950880">
              <w:rPr>
                <w:rFonts w:eastAsia="Calibri"/>
                <w:sz w:val="24"/>
                <w:lang w:val="vi-VN"/>
              </w:rPr>
              <w:t>Các nội dung cam kết tại điểm g khoản 1 hiện mới dừng ở mức đị</w:t>
            </w:r>
            <w:r>
              <w:rPr>
                <w:rFonts w:eastAsia="Calibri"/>
                <w:sz w:val="24"/>
                <w:lang w:val="vi-VN"/>
              </w:rPr>
              <w:t>nh tính,</w:t>
            </w:r>
            <w:r>
              <w:rPr>
                <w:rFonts w:eastAsia="Calibri"/>
                <w:sz w:val="24"/>
              </w:rPr>
              <w:t xml:space="preserve"> </w:t>
            </w:r>
            <w:r w:rsidRPr="00950880">
              <w:rPr>
                <w:rFonts w:eastAsia="Calibri"/>
                <w:sz w:val="24"/>
                <w:lang w:val="vi-VN"/>
              </w:rPr>
              <w:t>bao gồm các nội dung như chuyển giao công nghệ, đào tạo nhân lực, nội đị</w:t>
            </w:r>
            <w:r>
              <w:rPr>
                <w:rFonts w:eastAsia="Calibri"/>
                <w:sz w:val="24"/>
                <w:lang w:val="vi-VN"/>
              </w:rPr>
              <w:t>a hóa,</w:t>
            </w:r>
            <w:r>
              <w:rPr>
                <w:rFonts w:eastAsia="Calibri"/>
                <w:sz w:val="24"/>
              </w:rPr>
              <w:t xml:space="preserve"> </w:t>
            </w:r>
            <w:r w:rsidRPr="00950880">
              <w:rPr>
                <w:rFonts w:eastAsia="Calibri"/>
                <w:sz w:val="24"/>
                <w:lang w:val="vi-VN"/>
              </w:rPr>
              <w:t>tiến độ giải ngân… nhưng chưa có cơ chế đo lường.</w:t>
            </w:r>
          </w:p>
          <w:p w14:paraId="11DE8022" w14:textId="0BD416F7" w:rsidR="00F9589D" w:rsidRPr="007E63B4" w:rsidRDefault="00950880" w:rsidP="00950880">
            <w:pPr>
              <w:spacing w:before="40"/>
              <w:jc w:val="both"/>
              <w:rPr>
                <w:rFonts w:eastAsia="Calibri"/>
                <w:sz w:val="24"/>
                <w:lang w:val="vi-VN"/>
              </w:rPr>
            </w:pPr>
            <w:r w:rsidRPr="00950880">
              <w:rPr>
                <w:rFonts w:eastAsia="Calibri"/>
                <w:sz w:val="24"/>
                <w:lang w:val="vi-VN"/>
              </w:rPr>
              <w:t>Đề nghị cơ quan soạn thảo bổ sung hệ thống chỉ tiêu định lượng (KPI) tố</w:t>
            </w:r>
            <w:r>
              <w:rPr>
                <w:rFonts w:eastAsia="Calibri"/>
                <w:sz w:val="24"/>
                <w:lang w:val="vi-VN"/>
              </w:rPr>
              <w:t>i</w:t>
            </w:r>
            <w:r>
              <w:rPr>
                <w:rFonts w:eastAsia="Calibri"/>
                <w:sz w:val="24"/>
              </w:rPr>
              <w:t xml:space="preserve"> </w:t>
            </w:r>
            <w:r w:rsidRPr="00950880">
              <w:rPr>
                <w:rFonts w:eastAsia="Calibri"/>
                <w:sz w:val="24"/>
                <w:lang w:val="vi-VN"/>
              </w:rPr>
              <w:t>thiểu đối với từng nhóm cam kết. Quy định rõ thời hạn thực hiện từng cam kế</w:t>
            </w:r>
            <w:r>
              <w:rPr>
                <w:rFonts w:eastAsia="Calibri"/>
                <w:sz w:val="24"/>
                <w:lang w:val="vi-VN"/>
              </w:rPr>
              <w:t>t,</w:t>
            </w:r>
            <w:r>
              <w:rPr>
                <w:rFonts w:eastAsia="Calibri"/>
                <w:sz w:val="24"/>
              </w:rPr>
              <w:t xml:space="preserve"> </w:t>
            </w:r>
            <w:r w:rsidRPr="00950880">
              <w:rPr>
                <w:rFonts w:eastAsia="Calibri"/>
                <w:sz w:val="24"/>
                <w:lang w:val="vi-VN"/>
              </w:rPr>
              <w:t xml:space="preserve">thiết lập cơ chế </w:t>
            </w:r>
            <w:r w:rsidRPr="00950880">
              <w:rPr>
                <w:rFonts w:eastAsia="Calibri"/>
                <w:sz w:val="24"/>
                <w:lang w:val="vi-VN"/>
              </w:rPr>
              <w:lastRenderedPageBreak/>
              <w:t>giám sát định kỳ và giám sát sau đầu tư. Phân loại cam kế</w:t>
            </w:r>
            <w:r>
              <w:rPr>
                <w:rFonts w:eastAsia="Calibri"/>
                <w:sz w:val="24"/>
                <w:lang w:val="vi-VN"/>
              </w:rPr>
              <w:t>t thành</w:t>
            </w:r>
            <w:r>
              <w:rPr>
                <w:rFonts w:eastAsia="Calibri"/>
                <w:sz w:val="24"/>
              </w:rPr>
              <w:t xml:space="preserve"> </w:t>
            </w:r>
            <w:r w:rsidRPr="00950880">
              <w:rPr>
                <w:rFonts w:eastAsia="Calibri"/>
                <w:sz w:val="24"/>
                <w:lang w:val="vi-VN"/>
              </w:rPr>
              <w:t>hai nhóm: cam kết bắt buộc và cam kết khuyến khích. Bổ sung cơ chế xử</w:t>
            </w:r>
            <w:r>
              <w:rPr>
                <w:rFonts w:eastAsia="Calibri"/>
                <w:sz w:val="24"/>
                <w:lang w:val="vi-VN"/>
              </w:rPr>
              <w:t xml:space="preserve"> lý trách</w:t>
            </w:r>
            <w:r>
              <w:rPr>
                <w:rFonts w:eastAsia="Calibri"/>
                <w:sz w:val="24"/>
              </w:rPr>
              <w:t xml:space="preserve"> </w:t>
            </w:r>
            <w:r w:rsidRPr="00950880">
              <w:rPr>
                <w:rFonts w:eastAsia="Calibri"/>
                <w:sz w:val="24"/>
                <w:lang w:val="vi-VN"/>
              </w:rPr>
              <w:t>nhiệm khi không thực hiện hoặc thực hiện không đầy đủ cam kết.</w:t>
            </w:r>
          </w:p>
        </w:tc>
        <w:tc>
          <w:tcPr>
            <w:tcW w:w="5245" w:type="dxa"/>
          </w:tcPr>
          <w:p w14:paraId="468628E1" w14:textId="1A6DACF2" w:rsidR="000847A7" w:rsidRPr="000847A7" w:rsidRDefault="000847A7" w:rsidP="000847A7">
            <w:pPr>
              <w:spacing w:before="40"/>
              <w:jc w:val="both"/>
              <w:rPr>
                <w:rFonts w:eastAsia="Calibri"/>
                <w:sz w:val="24"/>
                <w:lang w:val="vi-VN"/>
              </w:rPr>
            </w:pPr>
            <w:r w:rsidRPr="000847A7">
              <w:rPr>
                <w:rFonts w:eastAsia="Calibri"/>
                <w:sz w:val="24"/>
                <w:lang w:val="vi-VN"/>
              </w:rPr>
              <w:lastRenderedPageBreak/>
              <w:t>Ý kiến góp ý nêu trên đã được cơ quan soạn thảo nghiên cứu trong quá trình xây dựng thiết kế chính sách đối với nhóm cam kết của nhà đầu tư, tuy nhiên hiện chưa đưa vào quy định chi tiết theo hướng lượng hóa bằng hệ thống chỉ</w:t>
            </w:r>
            <w:r>
              <w:rPr>
                <w:rFonts w:eastAsia="Calibri"/>
                <w:sz w:val="24"/>
                <w:lang w:val="vi-VN"/>
              </w:rPr>
              <w:t xml:space="preserve"> tiêu (KPI).</w:t>
            </w:r>
          </w:p>
          <w:p w14:paraId="2679DF90" w14:textId="28A9ED2A" w:rsidR="000847A7" w:rsidRPr="000847A7" w:rsidRDefault="000847A7" w:rsidP="000847A7">
            <w:pPr>
              <w:spacing w:before="40"/>
              <w:jc w:val="both"/>
              <w:rPr>
                <w:rFonts w:eastAsia="Calibri"/>
                <w:sz w:val="24"/>
                <w:lang w:val="vi-VN"/>
              </w:rPr>
            </w:pPr>
            <w:r w:rsidRPr="000847A7">
              <w:rPr>
                <w:rFonts w:eastAsia="Calibri"/>
                <w:sz w:val="24"/>
                <w:lang w:val="vi-VN"/>
              </w:rPr>
              <w:t xml:space="preserve">Lý do là các nội dung cam kết tại điểm g khoản 1 mang tính chất tổng hợp, gắn với nhiều lĩnh vực khác </w:t>
            </w:r>
            <w:r w:rsidRPr="000847A7">
              <w:rPr>
                <w:rFonts w:eastAsia="Calibri"/>
                <w:sz w:val="24"/>
                <w:lang w:val="vi-VN"/>
              </w:rPr>
              <w:lastRenderedPageBreak/>
              <w:t>nhau như công nghệ, lao động, sản xuất và thị trường, trong đó mức độ áp dụng và khả năng đo lường phụ thuộc rất lớn vào tính chất từng dự án cụ thể. Nếu quy định cứng hệ thống chỉ tiêu định lượng trong Nghị quyết có thể dẫn đến tình trạng thiếu linh hoạt, khó áp dụng thống nhất và làm giảm khả năng thu hút các nhà đầu tư chiến lược với mô hình hoạt động đa dạ</w:t>
            </w:r>
            <w:r>
              <w:rPr>
                <w:rFonts w:eastAsia="Calibri"/>
                <w:sz w:val="24"/>
                <w:lang w:val="vi-VN"/>
              </w:rPr>
              <w:t>ng.</w:t>
            </w:r>
          </w:p>
          <w:p w14:paraId="1FE65E90" w14:textId="2C82537B" w:rsidR="00F9589D" w:rsidRPr="007E63B4" w:rsidRDefault="000847A7" w:rsidP="000847A7">
            <w:pPr>
              <w:spacing w:before="40"/>
              <w:jc w:val="both"/>
              <w:rPr>
                <w:rFonts w:eastAsia="Calibri"/>
                <w:sz w:val="24"/>
                <w:lang w:val="vi-VN"/>
              </w:rPr>
            </w:pPr>
            <w:r w:rsidRPr="000847A7">
              <w:rPr>
                <w:rFonts w:eastAsia="Calibri"/>
                <w:sz w:val="24"/>
                <w:lang w:val="vi-VN"/>
              </w:rPr>
              <w:t>Tuy nhiên, tiếp thu ý kiến góp ý, cơ quan soạn thảo sẽ nghiên cứu hoàn thiện theo hướng: quy định nguyên tắc và yêu cầu chung đối với các nhóm cam kết; giao cơ quan có thẩm quyền xác định cụ thể nội dung, tiến độ và mức độ thực hiện trong quyết định chấp thuận chủ trương đầu tư hoặc hợp đồng dự án; đồng thời tăng cường cơ chế giám sát, đánh giá trong quá trình thực hiện và sau đầu tư theo quy định của pháp luật hiện hành, bảo đảm tính khả thi và hiệu quả quản lý nhà nước.</w:t>
            </w:r>
          </w:p>
        </w:tc>
      </w:tr>
      <w:tr w:rsidR="00F9589D" w:rsidRPr="007C45CB" w14:paraId="5E5A479D" w14:textId="77777777" w:rsidTr="00F9589D">
        <w:tc>
          <w:tcPr>
            <w:tcW w:w="568" w:type="dxa"/>
          </w:tcPr>
          <w:p w14:paraId="26FA59B8" w14:textId="38E7F0A5" w:rsidR="00F9589D" w:rsidRPr="00EF21DE" w:rsidRDefault="00EF21DE" w:rsidP="002B0391">
            <w:pPr>
              <w:spacing w:before="40"/>
              <w:jc w:val="center"/>
              <w:rPr>
                <w:rFonts w:eastAsia="Calibri"/>
                <w:sz w:val="24"/>
              </w:rPr>
            </w:pPr>
            <w:r>
              <w:rPr>
                <w:rFonts w:eastAsia="Calibri"/>
                <w:sz w:val="24"/>
              </w:rPr>
              <w:lastRenderedPageBreak/>
              <w:t>2.9</w:t>
            </w:r>
          </w:p>
        </w:tc>
        <w:tc>
          <w:tcPr>
            <w:tcW w:w="2693" w:type="dxa"/>
          </w:tcPr>
          <w:p w14:paraId="1894A86F" w14:textId="5EA9EB04" w:rsidR="00F9589D" w:rsidRPr="007E63B4" w:rsidRDefault="007C4DB3" w:rsidP="002B0391">
            <w:pPr>
              <w:spacing w:before="40"/>
              <w:jc w:val="both"/>
              <w:rPr>
                <w:rFonts w:eastAsia="Calibri"/>
                <w:sz w:val="24"/>
                <w:lang w:val="vi-VN"/>
              </w:rPr>
            </w:pPr>
            <w:r w:rsidRPr="007C4DB3">
              <w:rPr>
                <w:rFonts w:eastAsia="Calibri"/>
                <w:sz w:val="24"/>
                <w:lang w:val="vi-VN"/>
              </w:rPr>
              <w:t>Về thẩm định hồ sơ (Điều 18)</w:t>
            </w:r>
          </w:p>
        </w:tc>
        <w:tc>
          <w:tcPr>
            <w:tcW w:w="5670" w:type="dxa"/>
          </w:tcPr>
          <w:p w14:paraId="1650B139" w14:textId="77777777" w:rsidR="00F9589D" w:rsidRDefault="00936C2F" w:rsidP="00936C2F">
            <w:pPr>
              <w:spacing w:before="40"/>
              <w:jc w:val="both"/>
              <w:rPr>
                <w:sz w:val="24"/>
                <w:lang w:val="vi-VN"/>
              </w:rPr>
            </w:pPr>
            <w:r w:rsidRPr="00936C2F">
              <w:rPr>
                <w:sz w:val="24"/>
                <w:lang w:val="vi-VN"/>
              </w:rPr>
              <w:t>- Về thời hạn thẩm định: Các mốc thời gian</w:t>
            </w:r>
            <w:r>
              <w:rPr>
                <w:sz w:val="24"/>
                <w:lang w:val="vi-VN"/>
              </w:rPr>
              <w:t xml:space="preserve"> như 02 ngày, 03 ngày, 10 ngày,</w:t>
            </w:r>
            <w:r>
              <w:rPr>
                <w:sz w:val="24"/>
              </w:rPr>
              <w:t xml:space="preserve"> </w:t>
            </w:r>
            <w:r w:rsidRPr="00936C2F">
              <w:rPr>
                <w:sz w:val="24"/>
                <w:lang w:val="vi-VN"/>
              </w:rPr>
              <w:t>15 ngày được quy định theo hướng rút ngắn mạn</w:t>
            </w:r>
            <w:r>
              <w:rPr>
                <w:sz w:val="24"/>
                <w:lang w:val="vi-VN"/>
              </w:rPr>
              <w:t>h thủ tục hành chính, tuy nhiên</w:t>
            </w:r>
            <w:r>
              <w:rPr>
                <w:sz w:val="24"/>
              </w:rPr>
              <w:t xml:space="preserve"> </w:t>
            </w:r>
            <w:r w:rsidRPr="00936C2F">
              <w:rPr>
                <w:sz w:val="24"/>
                <w:lang w:val="vi-VN"/>
              </w:rPr>
              <w:t>trong thực tiễn có thể khó bảo đảm đối với các n</w:t>
            </w:r>
            <w:r>
              <w:rPr>
                <w:sz w:val="24"/>
                <w:lang w:val="vi-VN"/>
              </w:rPr>
              <w:t>hóm dự án có tính chất phức tạp</w:t>
            </w:r>
            <w:r>
              <w:rPr>
                <w:sz w:val="24"/>
              </w:rPr>
              <w:t xml:space="preserve"> </w:t>
            </w:r>
            <w:r w:rsidRPr="00936C2F">
              <w:rPr>
                <w:sz w:val="24"/>
                <w:lang w:val="vi-VN"/>
              </w:rPr>
              <w:t>như: dự án liên ngành; dự án PPP quy mô lớn; dự á</w:t>
            </w:r>
            <w:r>
              <w:rPr>
                <w:sz w:val="24"/>
                <w:lang w:val="vi-VN"/>
              </w:rPr>
              <w:t>n có liên quan nhiều yếu tố đất</w:t>
            </w:r>
            <w:r>
              <w:rPr>
                <w:sz w:val="24"/>
              </w:rPr>
              <w:t xml:space="preserve"> </w:t>
            </w:r>
            <w:r w:rsidRPr="00936C2F">
              <w:rPr>
                <w:sz w:val="24"/>
                <w:lang w:val="vi-VN"/>
              </w:rPr>
              <w:t>đai, môi trường, quy hoạch</w:t>
            </w:r>
          </w:p>
          <w:p w14:paraId="1354737F" w14:textId="18A1193B" w:rsidR="00F8748E" w:rsidRPr="00F8748E" w:rsidRDefault="00F8748E" w:rsidP="00F8748E">
            <w:pPr>
              <w:spacing w:before="40"/>
              <w:jc w:val="both"/>
              <w:rPr>
                <w:sz w:val="24"/>
                <w:lang w:val="vi-VN"/>
              </w:rPr>
            </w:pPr>
            <w:r w:rsidRPr="00F8748E">
              <w:rPr>
                <w:sz w:val="24"/>
                <w:lang w:val="vi-VN"/>
              </w:rPr>
              <w:t xml:space="preserve">Do đó, đề nghị cơ quan soạn thảo bổ sung cơ </w:t>
            </w:r>
            <w:r>
              <w:rPr>
                <w:sz w:val="24"/>
                <w:lang w:val="vi-VN"/>
              </w:rPr>
              <w:t>chế gia hạn thời gian thẩm định</w:t>
            </w:r>
            <w:r>
              <w:rPr>
                <w:sz w:val="24"/>
              </w:rPr>
              <w:t xml:space="preserve"> </w:t>
            </w:r>
            <w:r w:rsidRPr="00F8748E">
              <w:rPr>
                <w:sz w:val="24"/>
                <w:lang w:val="vi-VN"/>
              </w:rPr>
              <w:t xml:space="preserve">trong trường hợp cần thiết; Phân loại dự án theo </w:t>
            </w:r>
            <w:r>
              <w:rPr>
                <w:sz w:val="24"/>
                <w:lang w:val="vi-VN"/>
              </w:rPr>
              <w:t>mức độ phức tạp để áp dụng thời</w:t>
            </w:r>
            <w:r>
              <w:rPr>
                <w:sz w:val="24"/>
              </w:rPr>
              <w:t xml:space="preserve"> </w:t>
            </w:r>
            <w:r w:rsidRPr="00F8748E">
              <w:rPr>
                <w:sz w:val="24"/>
                <w:lang w:val="vi-VN"/>
              </w:rPr>
              <w:t>hạn phù hợp; Tránh áp dụng một khung thời gian thống nhất cho mọi loại dự án.</w:t>
            </w:r>
          </w:p>
          <w:p w14:paraId="311971C7" w14:textId="3F3842CC" w:rsidR="00F8748E" w:rsidRPr="00F8748E" w:rsidRDefault="00F8748E" w:rsidP="00F8748E">
            <w:pPr>
              <w:spacing w:before="40"/>
              <w:jc w:val="both"/>
              <w:rPr>
                <w:sz w:val="24"/>
                <w:lang w:val="vi-VN"/>
              </w:rPr>
            </w:pPr>
            <w:r w:rsidRPr="00F8748E">
              <w:rPr>
                <w:sz w:val="24"/>
                <w:lang w:val="vi-VN"/>
              </w:rPr>
              <w:lastRenderedPageBreak/>
              <w:t>- Về nội dung thẩm định: Danh mục nội dung thẩm định tương đối toàn</w:t>
            </w:r>
            <w:r>
              <w:rPr>
                <w:sz w:val="24"/>
              </w:rPr>
              <w:t xml:space="preserve"> </w:t>
            </w:r>
            <w:r w:rsidRPr="00F8748E">
              <w:rPr>
                <w:sz w:val="24"/>
                <w:lang w:val="vi-VN"/>
              </w:rPr>
              <w:t>diện, tuy nhiên vẫn cần làm rõ một số vấn đề về phân công trách nhiệm giữa các</w:t>
            </w:r>
            <w:r>
              <w:rPr>
                <w:sz w:val="24"/>
              </w:rPr>
              <w:t xml:space="preserve"> </w:t>
            </w:r>
            <w:r w:rsidRPr="00F8748E">
              <w:rPr>
                <w:sz w:val="24"/>
                <w:lang w:val="vi-VN"/>
              </w:rPr>
              <w:t>cơ quan chuyên môn. Cụ thể: Có sự giao thoa giữ</w:t>
            </w:r>
            <w:r>
              <w:rPr>
                <w:sz w:val="24"/>
                <w:lang w:val="vi-VN"/>
              </w:rPr>
              <w:t>a thẩm định đầu tư và thẩm định</w:t>
            </w:r>
            <w:r>
              <w:rPr>
                <w:sz w:val="24"/>
              </w:rPr>
              <w:t xml:space="preserve"> </w:t>
            </w:r>
            <w:r w:rsidRPr="00F8748E">
              <w:rPr>
                <w:sz w:val="24"/>
                <w:lang w:val="vi-VN"/>
              </w:rPr>
              <w:t xml:space="preserve">kỹ thuật chuyên ngành; Một số nội dung thuộc thẩm quyền </w:t>
            </w:r>
            <w:r>
              <w:rPr>
                <w:sz w:val="24"/>
                <w:lang w:val="vi-VN"/>
              </w:rPr>
              <w:t>chuyên ngành nhưng</w:t>
            </w:r>
            <w:r>
              <w:rPr>
                <w:sz w:val="24"/>
              </w:rPr>
              <w:t xml:space="preserve"> </w:t>
            </w:r>
            <w:r w:rsidRPr="00F8748E">
              <w:rPr>
                <w:sz w:val="24"/>
                <w:lang w:val="vi-VN"/>
              </w:rPr>
              <w:t>chưa xác định rõ cơ quan chịu trách nhiệm chính</w:t>
            </w:r>
            <w:r>
              <w:rPr>
                <w:sz w:val="24"/>
                <w:lang w:val="vi-VN"/>
              </w:rPr>
              <w:t>; Nguy cơ chồng chéo trong việc</w:t>
            </w:r>
            <w:r>
              <w:rPr>
                <w:sz w:val="24"/>
              </w:rPr>
              <w:t xml:space="preserve"> </w:t>
            </w:r>
            <w:r w:rsidRPr="00F8748E">
              <w:rPr>
                <w:sz w:val="24"/>
                <w:lang w:val="vi-VN"/>
              </w:rPr>
              <w:t>lấy ý kiến giữa các sở, ngành.</w:t>
            </w:r>
          </w:p>
          <w:p w14:paraId="06A39AF2" w14:textId="316E9EE8" w:rsidR="00F8748E" w:rsidRPr="00F72BD4" w:rsidRDefault="00F8748E" w:rsidP="00F8748E">
            <w:pPr>
              <w:spacing w:before="40"/>
              <w:jc w:val="both"/>
              <w:rPr>
                <w:sz w:val="24"/>
                <w:lang w:val="vi-VN"/>
              </w:rPr>
            </w:pPr>
            <w:r w:rsidRPr="00F8748E">
              <w:rPr>
                <w:sz w:val="24"/>
                <w:lang w:val="vi-VN"/>
              </w:rPr>
              <w:t xml:space="preserve">Đề nghị cơ quan soạn thảo: Quy định rõ </w:t>
            </w:r>
            <w:r>
              <w:rPr>
                <w:sz w:val="24"/>
                <w:lang w:val="vi-VN"/>
              </w:rPr>
              <w:t>cơ quan chủ trì thẩm định và cơ</w:t>
            </w:r>
            <w:r>
              <w:rPr>
                <w:sz w:val="24"/>
              </w:rPr>
              <w:t xml:space="preserve"> </w:t>
            </w:r>
            <w:r w:rsidRPr="00F8748E">
              <w:rPr>
                <w:sz w:val="24"/>
                <w:lang w:val="vi-VN"/>
              </w:rPr>
              <w:t xml:space="preserve">quan phối hợp; Phân định rõ nội dung tổng hợp thẩm định </w:t>
            </w:r>
            <w:r>
              <w:rPr>
                <w:sz w:val="24"/>
                <w:lang w:val="vi-VN"/>
              </w:rPr>
              <w:t>và nội dung thẩm định</w:t>
            </w:r>
            <w:r>
              <w:rPr>
                <w:sz w:val="24"/>
              </w:rPr>
              <w:t xml:space="preserve"> </w:t>
            </w:r>
            <w:r w:rsidRPr="00F8748E">
              <w:rPr>
                <w:sz w:val="24"/>
                <w:lang w:val="vi-VN"/>
              </w:rPr>
              <w:t>chuyên ngành; Tránh trùng lặp và chồng chéo trách nhiệm giữa các cơ quan.</w:t>
            </w:r>
          </w:p>
        </w:tc>
        <w:tc>
          <w:tcPr>
            <w:tcW w:w="5245" w:type="dxa"/>
          </w:tcPr>
          <w:p w14:paraId="65A1D2B8" w14:textId="3EF69989" w:rsidR="009C294E" w:rsidRPr="009C294E" w:rsidRDefault="009C294E" w:rsidP="009C294E">
            <w:pPr>
              <w:spacing w:before="40"/>
              <w:jc w:val="both"/>
              <w:rPr>
                <w:rFonts w:eastAsia="Calibri"/>
                <w:sz w:val="24"/>
                <w:lang w:val="vi-VN"/>
              </w:rPr>
            </w:pPr>
            <w:r w:rsidRPr="009C294E">
              <w:rPr>
                <w:rFonts w:eastAsia="Calibri"/>
                <w:sz w:val="24"/>
                <w:lang w:val="vi-VN"/>
              </w:rPr>
              <w:lastRenderedPageBreak/>
              <w:t>Về thời hạn thẩm định, các mốc thời gian được quy định trong dự thảo theo hướng rút gọn nhằm thực hiện mục tiêu cải cách mạnh mẽ thủ tục hành chính, bảo đảm tính kịp thời trong quyết định chủ trương đầu tư và phù hợp với cơ chế đặc thù của Luật Thủ đô. Việc áp dụng một khung thời gian thống nhất góp phần tăng tính minh bạch, dễ theo dõi, đồng thời nâng cao trách nhiệm của cơ quan được giao thẩm định trong việc xử lý hồ sơ đúng hạ</w:t>
            </w:r>
            <w:r>
              <w:rPr>
                <w:rFonts w:eastAsia="Calibri"/>
                <w:sz w:val="24"/>
                <w:lang w:val="vi-VN"/>
              </w:rPr>
              <w:t>n.</w:t>
            </w:r>
          </w:p>
          <w:p w14:paraId="6E742106" w14:textId="76F60927" w:rsidR="009C294E" w:rsidRPr="009C294E" w:rsidRDefault="009C294E" w:rsidP="009C294E">
            <w:pPr>
              <w:spacing w:before="40"/>
              <w:jc w:val="both"/>
              <w:rPr>
                <w:rFonts w:eastAsia="Calibri"/>
                <w:sz w:val="24"/>
                <w:lang w:val="vi-VN"/>
              </w:rPr>
            </w:pPr>
            <w:r w:rsidRPr="009C294E">
              <w:rPr>
                <w:rFonts w:eastAsia="Calibri"/>
                <w:sz w:val="24"/>
                <w:lang w:val="vi-VN"/>
              </w:rPr>
              <w:t xml:space="preserve">Đối với các trường hợp dự án có tính chất phức tạp, dự thảo đã thiết kế cơ chế xử lý thông qua Hội đồng thẩm định, cơ chế lấy ý kiến nhiều cơ quan và quy định trách nhiệm phối hợp rõ ràng giữa các đơn vị </w:t>
            </w:r>
            <w:r w:rsidRPr="009C294E">
              <w:rPr>
                <w:rFonts w:eastAsia="Calibri"/>
                <w:sz w:val="24"/>
                <w:lang w:val="vi-VN"/>
              </w:rPr>
              <w:lastRenderedPageBreak/>
              <w:t>liên quan. Đây là các công cụ mang tính “điều tiết kỹ thuật” trong quy trình thẩm định, bảo đảm vừa rút ngắn thời gian chung, vừa xử lý được các nội dung chuyên ngành phức tạp mà không cần thiết phải thiết kế thêm cơ chế gia hạn mang tính ngoại lệ, tránh làm giảm tính kỷ luật hành chính trong tổ chức thực hiệ</w:t>
            </w:r>
            <w:r>
              <w:rPr>
                <w:rFonts w:eastAsia="Calibri"/>
                <w:sz w:val="24"/>
                <w:lang w:val="vi-VN"/>
              </w:rPr>
              <w:t>n.</w:t>
            </w:r>
          </w:p>
          <w:p w14:paraId="206BB061" w14:textId="7823D345" w:rsidR="00F9589D" w:rsidRPr="007E63B4" w:rsidRDefault="009C294E" w:rsidP="009C294E">
            <w:pPr>
              <w:spacing w:before="40"/>
              <w:jc w:val="both"/>
              <w:rPr>
                <w:rFonts w:eastAsia="Calibri"/>
                <w:sz w:val="24"/>
                <w:lang w:val="vi-VN"/>
              </w:rPr>
            </w:pPr>
            <w:r w:rsidRPr="009C294E">
              <w:rPr>
                <w:rFonts w:eastAsia="Calibri"/>
                <w:sz w:val="24"/>
                <w:lang w:val="vi-VN"/>
              </w:rPr>
              <w:t>Về nội dung thẩm định và phân công trách nhiệm, dự thảo đã xác định rõ cơ quan chủ trì thẩm định và trách nhiệm phối hợp của các sở, ngành, đồng thời phân định theo hướng nội dung tổng hợp do cơ quan chủ trì thực hiện và nội dung chuyên ngành do cơ quan được lấy ý kiến chịu trách nhiệm. Việc quy định như vậy nhằm hạn chế tối đa chồng chéo, bảo đảm rõ đầu mối, rõ trách nhiệm, đồng thời phù hợp với nguyên tắc một đầu mối điều phối trong thẩm định chủ trương đầu tư, do đó không cần thiết tách thêm cơ chế phân loại hoặc quy định bổ sung theo hướng đề xuất.</w:t>
            </w:r>
          </w:p>
        </w:tc>
      </w:tr>
      <w:tr w:rsidR="00F9589D" w:rsidRPr="007C45CB" w14:paraId="4AEB64F7" w14:textId="77777777" w:rsidTr="00F9589D">
        <w:trPr>
          <w:trHeight w:val="30"/>
        </w:trPr>
        <w:tc>
          <w:tcPr>
            <w:tcW w:w="568" w:type="dxa"/>
          </w:tcPr>
          <w:p w14:paraId="231A9F18" w14:textId="71D35EFE" w:rsidR="00F9589D" w:rsidRPr="00EF21DE" w:rsidRDefault="00EF21DE" w:rsidP="002B0391">
            <w:pPr>
              <w:spacing w:before="40"/>
              <w:rPr>
                <w:rFonts w:eastAsia="Calibri"/>
                <w:sz w:val="24"/>
              </w:rPr>
            </w:pPr>
            <w:r>
              <w:rPr>
                <w:rFonts w:eastAsia="Calibri"/>
                <w:sz w:val="24"/>
              </w:rPr>
              <w:lastRenderedPageBreak/>
              <w:t>2.10</w:t>
            </w:r>
          </w:p>
        </w:tc>
        <w:tc>
          <w:tcPr>
            <w:tcW w:w="2693" w:type="dxa"/>
          </w:tcPr>
          <w:p w14:paraId="3694202D" w14:textId="1E73C5A0" w:rsidR="00F9589D" w:rsidRPr="005A17AE" w:rsidRDefault="00F8748E" w:rsidP="002B0391">
            <w:pPr>
              <w:spacing w:before="40"/>
              <w:jc w:val="both"/>
              <w:rPr>
                <w:rFonts w:eastAsia="Calibri"/>
                <w:bCs/>
                <w:sz w:val="24"/>
                <w:lang w:val="nl-NL"/>
              </w:rPr>
            </w:pPr>
            <w:r w:rsidRPr="00F8748E">
              <w:rPr>
                <w:rFonts w:eastAsia="Calibri"/>
                <w:bCs/>
                <w:sz w:val="24"/>
                <w:lang w:val="nl-NL"/>
              </w:rPr>
              <w:t>Về quyết định chấp thuận chủ trương đầu tư (Điều 19</w:t>
            </w:r>
            <w:r w:rsidR="009E618A">
              <w:rPr>
                <w:rFonts w:eastAsia="Calibri"/>
                <w:bCs/>
                <w:sz w:val="24"/>
                <w:lang w:val="nl-NL"/>
              </w:rPr>
              <w:t>)</w:t>
            </w:r>
          </w:p>
        </w:tc>
        <w:tc>
          <w:tcPr>
            <w:tcW w:w="5670" w:type="dxa"/>
          </w:tcPr>
          <w:p w14:paraId="656861D9" w14:textId="5679BF61" w:rsidR="009E618A" w:rsidRPr="009E618A" w:rsidRDefault="009E618A" w:rsidP="009E618A">
            <w:pPr>
              <w:spacing w:before="40"/>
              <w:jc w:val="both"/>
              <w:rPr>
                <w:rFonts w:eastAsia="Calibri"/>
                <w:sz w:val="24"/>
                <w:lang w:val="vi-VN"/>
              </w:rPr>
            </w:pPr>
            <w:r w:rsidRPr="009E618A">
              <w:rPr>
                <w:rFonts w:eastAsia="Calibri"/>
                <w:sz w:val="24"/>
                <w:lang w:val="vi-VN"/>
              </w:rPr>
              <w:t>Nội dung này cơ bản đã được xây dựng tương đối đầy đủ, bao quát các yế</w:t>
            </w:r>
            <w:r>
              <w:rPr>
                <w:rFonts w:eastAsia="Calibri"/>
                <w:sz w:val="24"/>
                <w:lang w:val="vi-VN"/>
              </w:rPr>
              <w:t>u</w:t>
            </w:r>
            <w:r>
              <w:rPr>
                <w:rFonts w:eastAsia="Calibri"/>
                <w:sz w:val="24"/>
              </w:rPr>
              <w:t xml:space="preserve"> </w:t>
            </w:r>
            <w:r w:rsidRPr="009E618A">
              <w:rPr>
                <w:rFonts w:eastAsia="Calibri"/>
                <w:sz w:val="24"/>
                <w:lang w:val="vi-VN"/>
              </w:rPr>
              <w:t>tố chính liên quan đến việc xác lập chủ trương triển khai dự án, bao gồm mụ</w:t>
            </w:r>
            <w:r>
              <w:rPr>
                <w:rFonts w:eastAsia="Calibri"/>
                <w:sz w:val="24"/>
                <w:lang w:val="vi-VN"/>
              </w:rPr>
              <w:t>c tiêu,</w:t>
            </w:r>
            <w:r>
              <w:rPr>
                <w:rFonts w:eastAsia="Calibri"/>
                <w:sz w:val="24"/>
              </w:rPr>
              <w:t xml:space="preserve"> </w:t>
            </w:r>
            <w:r w:rsidRPr="009E618A">
              <w:rPr>
                <w:rFonts w:eastAsia="Calibri"/>
                <w:sz w:val="24"/>
                <w:lang w:val="vi-VN"/>
              </w:rPr>
              <w:t>quy mô, địa điểm, vốn đầu tư, tiến độ thực hiện, công nghệ áp dụ</w:t>
            </w:r>
            <w:r>
              <w:rPr>
                <w:rFonts w:eastAsia="Calibri"/>
                <w:sz w:val="24"/>
                <w:lang w:val="vi-VN"/>
              </w:rPr>
              <w:t>ng và các trách</w:t>
            </w:r>
            <w:r>
              <w:rPr>
                <w:rFonts w:eastAsia="Calibri"/>
                <w:sz w:val="24"/>
              </w:rPr>
              <w:t xml:space="preserve"> </w:t>
            </w:r>
            <w:r w:rsidRPr="009E618A">
              <w:rPr>
                <w:rFonts w:eastAsia="Calibri"/>
                <w:sz w:val="24"/>
                <w:lang w:val="vi-VN"/>
              </w:rPr>
              <w:t>nhiệm liên quan. Tuy nhiên, qua rà soát về mặt bản chất pháp lý của “chủ</w:t>
            </w:r>
            <w:r>
              <w:rPr>
                <w:rFonts w:eastAsia="Calibri"/>
                <w:sz w:val="24"/>
                <w:lang w:val="vi-VN"/>
              </w:rPr>
              <w:t xml:space="preserve"> trương</w:t>
            </w:r>
            <w:r>
              <w:rPr>
                <w:rFonts w:eastAsia="Calibri"/>
                <w:sz w:val="24"/>
              </w:rPr>
              <w:t xml:space="preserve"> </w:t>
            </w:r>
            <w:r w:rsidRPr="009E618A">
              <w:rPr>
                <w:rFonts w:eastAsia="Calibri"/>
                <w:sz w:val="24"/>
                <w:lang w:val="vi-VN"/>
              </w:rPr>
              <w:t>đầu tư”, có thể nhận thấy một số nội dung hiện đang được quy định trong dự thả</w:t>
            </w:r>
            <w:r>
              <w:rPr>
                <w:rFonts w:eastAsia="Calibri"/>
                <w:sz w:val="24"/>
                <w:lang w:val="vi-VN"/>
              </w:rPr>
              <w:t>o</w:t>
            </w:r>
            <w:r>
              <w:rPr>
                <w:rFonts w:eastAsia="Calibri"/>
                <w:sz w:val="24"/>
              </w:rPr>
              <w:t xml:space="preserve"> </w:t>
            </w:r>
            <w:r w:rsidRPr="009E618A">
              <w:rPr>
                <w:rFonts w:eastAsia="Calibri"/>
                <w:sz w:val="24"/>
                <w:lang w:val="vi-VN"/>
              </w:rPr>
              <w:t>có xu hướng đi sâu vào giai đoạn tổ chức thực hiện dự án, thậm chí tiệm cận nộ</w:t>
            </w:r>
            <w:r>
              <w:rPr>
                <w:rFonts w:eastAsia="Calibri"/>
                <w:sz w:val="24"/>
                <w:lang w:val="vi-VN"/>
              </w:rPr>
              <w:t>i</w:t>
            </w:r>
            <w:r>
              <w:rPr>
                <w:rFonts w:eastAsia="Calibri"/>
                <w:sz w:val="24"/>
              </w:rPr>
              <w:t xml:space="preserve"> </w:t>
            </w:r>
            <w:r w:rsidRPr="009E618A">
              <w:rPr>
                <w:rFonts w:eastAsia="Calibri"/>
                <w:sz w:val="24"/>
                <w:lang w:val="vi-VN"/>
              </w:rPr>
              <w:t>dung của báo cáo nghiên cứu khả thi hoặc thiết kế dự án.</w:t>
            </w:r>
          </w:p>
          <w:p w14:paraId="25554B69" w14:textId="7800504C" w:rsidR="00F9589D" w:rsidRPr="007E63B4" w:rsidRDefault="009E618A" w:rsidP="009E618A">
            <w:pPr>
              <w:spacing w:before="40"/>
              <w:jc w:val="both"/>
              <w:rPr>
                <w:rFonts w:eastAsia="Calibri"/>
                <w:sz w:val="24"/>
                <w:lang w:val="vi-VN"/>
              </w:rPr>
            </w:pPr>
            <w:r w:rsidRPr="009E618A">
              <w:rPr>
                <w:rFonts w:eastAsia="Calibri"/>
                <w:sz w:val="24"/>
                <w:lang w:val="vi-VN"/>
              </w:rPr>
              <w:t>Đề nghị cơ quan soạn thảo rà soát và phân định rõ ràng giữa nội dung thuộ</w:t>
            </w:r>
            <w:r>
              <w:rPr>
                <w:rFonts w:eastAsia="Calibri"/>
                <w:sz w:val="24"/>
                <w:lang w:val="vi-VN"/>
              </w:rPr>
              <w:t>c</w:t>
            </w:r>
            <w:r>
              <w:rPr>
                <w:rFonts w:eastAsia="Calibri"/>
                <w:sz w:val="24"/>
              </w:rPr>
              <w:t xml:space="preserve"> </w:t>
            </w:r>
            <w:r w:rsidRPr="009E618A">
              <w:rPr>
                <w:rFonts w:eastAsia="Calibri"/>
                <w:sz w:val="24"/>
                <w:lang w:val="vi-VN"/>
              </w:rPr>
              <w:t>phạm vi quyết định chủ trương đầu tư (mang tính định hướ</w:t>
            </w:r>
            <w:r>
              <w:rPr>
                <w:rFonts w:eastAsia="Calibri"/>
                <w:sz w:val="24"/>
                <w:lang w:val="vi-VN"/>
              </w:rPr>
              <w:t>ng, khung chính sách)</w:t>
            </w:r>
            <w:r>
              <w:rPr>
                <w:rFonts w:eastAsia="Calibri"/>
                <w:sz w:val="24"/>
              </w:rPr>
              <w:t xml:space="preserve"> </w:t>
            </w:r>
            <w:r w:rsidRPr="009E618A">
              <w:rPr>
                <w:rFonts w:eastAsia="Calibri"/>
                <w:sz w:val="24"/>
                <w:lang w:val="vi-VN"/>
              </w:rPr>
              <w:t xml:space="preserve">và nội dung </w:t>
            </w:r>
            <w:r w:rsidRPr="009E618A">
              <w:rPr>
                <w:rFonts w:eastAsia="Calibri"/>
                <w:sz w:val="24"/>
                <w:lang w:val="vi-VN"/>
              </w:rPr>
              <w:lastRenderedPageBreak/>
              <w:t>thuộc báo cáo nghiên cứu khả thi và quyết định đầu tư (mang tính kỹ</w:t>
            </w:r>
            <w:r>
              <w:rPr>
                <w:rFonts w:eastAsia="Calibri"/>
                <w:sz w:val="24"/>
              </w:rPr>
              <w:t xml:space="preserve"> </w:t>
            </w:r>
            <w:r w:rsidRPr="009E618A">
              <w:rPr>
                <w:rFonts w:eastAsia="Calibri"/>
                <w:sz w:val="24"/>
                <w:lang w:val="vi-VN"/>
              </w:rPr>
              <w:t>thuật và triển khai). Hạn chế đưa vào quyết định các nội dung mang tính chi tiế</w:t>
            </w:r>
            <w:r>
              <w:rPr>
                <w:rFonts w:eastAsia="Calibri"/>
                <w:sz w:val="24"/>
                <w:lang w:val="vi-VN"/>
              </w:rPr>
              <w:t>t</w:t>
            </w:r>
            <w:r>
              <w:rPr>
                <w:rFonts w:eastAsia="Calibri"/>
                <w:sz w:val="24"/>
              </w:rPr>
              <w:t xml:space="preserve"> </w:t>
            </w:r>
            <w:r w:rsidRPr="009E618A">
              <w:rPr>
                <w:rFonts w:eastAsia="Calibri"/>
                <w:sz w:val="24"/>
                <w:lang w:val="vi-VN"/>
              </w:rPr>
              <w:t>về tiến độ, phân kỳ hoặc tổ chức thực hiện. Bảo đảm quyết định chủ trương đầ</w:t>
            </w:r>
            <w:r>
              <w:rPr>
                <w:rFonts w:eastAsia="Calibri"/>
                <w:sz w:val="24"/>
                <w:lang w:val="vi-VN"/>
              </w:rPr>
              <w:t>u tư</w:t>
            </w:r>
            <w:r>
              <w:rPr>
                <w:rFonts w:eastAsia="Calibri"/>
                <w:sz w:val="24"/>
              </w:rPr>
              <w:t xml:space="preserve"> </w:t>
            </w:r>
            <w:r w:rsidRPr="009E618A">
              <w:rPr>
                <w:rFonts w:eastAsia="Calibri"/>
                <w:sz w:val="24"/>
                <w:lang w:val="vi-VN"/>
              </w:rPr>
              <w:t>giữ đúng vai trò là căn cứ pháp lý định hướng, tạo khung cho việc triển khai dự</w:t>
            </w:r>
            <w:r>
              <w:rPr>
                <w:rFonts w:eastAsia="Calibri"/>
                <w:sz w:val="24"/>
              </w:rPr>
              <w:t xml:space="preserve"> </w:t>
            </w:r>
            <w:r w:rsidRPr="009E618A">
              <w:rPr>
                <w:rFonts w:eastAsia="Calibri"/>
                <w:sz w:val="24"/>
                <w:lang w:val="vi-VN"/>
              </w:rPr>
              <w:t>án, thay vì thay thế cho hồ sơ kỹ thuật.</w:t>
            </w:r>
          </w:p>
        </w:tc>
        <w:tc>
          <w:tcPr>
            <w:tcW w:w="5245" w:type="dxa"/>
          </w:tcPr>
          <w:p w14:paraId="1C83C919" w14:textId="3C95FA8D" w:rsidR="00EE6167" w:rsidRPr="00EE6167" w:rsidRDefault="00EE6167" w:rsidP="00EE6167">
            <w:pPr>
              <w:spacing w:before="40"/>
              <w:jc w:val="both"/>
              <w:rPr>
                <w:rFonts w:eastAsia="Calibri"/>
                <w:sz w:val="24"/>
                <w:lang w:val="vi-VN"/>
              </w:rPr>
            </w:pPr>
            <w:r w:rsidRPr="00EE6167">
              <w:rPr>
                <w:rFonts w:eastAsia="Calibri"/>
                <w:sz w:val="24"/>
                <w:lang w:val="vi-VN"/>
              </w:rPr>
              <w:lastRenderedPageBreak/>
              <w:t>Ý kiến nêu trên đã được cơ quan soạn thảo tiếp thu về mặt nguyên tắc trong quá trình thiết kế nội dung quyết định chủ trương đầu tư, theo hướng bảo đảm phân định rõ giữa giai đoạn chủ trương đầu tư và giai đoạn lập, thẩm định, phê duyệt dự án đầ</w:t>
            </w:r>
            <w:r>
              <w:rPr>
                <w:rFonts w:eastAsia="Calibri"/>
                <w:sz w:val="24"/>
                <w:lang w:val="vi-VN"/>
              </w:rPr>
              <w:t>u tư.</w:t>
            </w:r>
          </w:p>
          <w:p w14:paraId="0B29C97B" w14:textId="1560332E" w:rsidR="00EE6167" w:rsidRPr="00EE6167" w:rsidRDefault="00EE6167" w:rsidP="00EE6167">
            <w:pPr>
              <w:spacing w:before="40"/>
              <w:jc w:val="both"/>
              <w:rPr>
                <w:rFonts w:eastAsia="Calibri"/>
                <w:sz w:val="24"/>
                <w:lang w:val="vi-VN"/>
              </w:rPr>
            </w:pPr>
            <w:r w:rsidRPr="00EE6167">
              <w:rPr>
                <w:rFonts w:eastAsia="Calibri"/>
                <w:sz w:val="24"/>
                <w:lang w:val="vi-VN"/>
              </w:rPr>
              <w:t xml:space="preserve">Theo đó, dự thảo đã xác định các nội dung trong quyết định chủ trương đầu tư chủ yếu mang tính khung, gồm mục tiêu, quy mô, địa điểm, tổng mức đầu tư, thời hạn thực hiện và các điều kiện cơ bản để triển khai dự án. Các nội dung này được quy định nhằm làm cơ sở pháp lý cho việc tổ chức các bước tiếp theo của dự án, đồng thời bảo đảm yêu cầu quản lý nhà nước đối với các dự án có sử dụng nguồn lực </w:t>
            </w:r>
            <w:r w:rsidRPr="00EE6167">
              <w:rPr>
                <w:rFonts w:eastAsia="Calibri"/>
                <w:sz w:val="24"/>
                <w:lang w:val="vi-VN"/>
              </w:rPr>
              <w:lastRenderedPageBreak/>
              <w:t>lớn hoặc có tác động quan trọng đến phát triển kinh tế – xã hội của Thành phố</w:t>
            </w:r>
            <w:r>
              <w:rPr>
                <w:rFonts w:eastAsia="Calibri"/>
                <w:sz w:val="24"/>
                <w:lang w:val="vi-VN"/>
              </w:rPr>
              <w:t>.</w:t>
            </w:r>
          </w:p>
          <w:p w14:paraId="085F4BCB" w14:textId="5D232D9A" w:rsidR="00F9589D" w:rsidRPr="007E63B4" w:rsidRDefault="00EE6167" w:rsidP="00EE6167">
            <w:pPr>
              <w:spacing w:before="40"/>
              <w:jc w:val="both"/>
              <w:rPr>
                <w:rFonts w:eastAsia="Calibri"/>
                <w:sz w:val="24"/>
                <w:lang w:val="vi-VN"/>
              </w:rPr>
            </w:pPr>
            <w:r w:rsidRPr="00EE6167">
              <w:rPr>
                <w:rFonts w:eastAsia="Calibri"/>
                <w:sz w:val="24"/>
                <w:lang w:val="vi-VN"/>
              </w:rPr>
              <w:t>Đối với các nội dung mang tính kỹ thuật, chi tiết như giải pháp thiết kế, phân kỳ đầu tư, biện pháp tổ chức thi công, tiến độ chi tiết theo hạng mục…, cơ quan soạn thảo sẽ tiếp tục rà soát để không đưa vào phạm vi quyết định chủ trương đầu tư, mà để thực hiện ở giai đoạn báo cáo nghiên cứu khả thi và quyết định đầu tư theo đúng quy định của pháp luật chuyên ngành, bảo đảm tính thống nhất, rõ ràng trong phân định thẩm quyền và trình tự thực hiện dự án.</w:t>
            </w:r>
          </w:p>
        </w:tc>
      </w:tr>
      <w:tr w:rsidR="009E618A" w:rsidRPr="007C45CB" w14:paraId="664E5876" w14:textId="77777777" w:rsidTr="00F9589D">
        <w:trPr>
          <w:trHeight w:val="30"/>
        </w:trPr>
        <w:tc>
          <w:tcPr>
            <w:tcW w:w="568" w:type="dxa"/>
          </w:tcPr>
          <w:p w14:paraId="76CB96BE" w14:textId="5D32E357" w:rsidR="009E618A" w:rsidRPr="00110B32" w:rsidRDefault="00110B32" w:rsidP="002B0391">
            <w:pPr>
              <w:spacing w:before="40"/>
              <w:rPr>
                <w:rFonts w:eastAsia="Calibri"/>
                <w:sz w:val="24"/>
              </w:rPr>
            </w:pPr>
            <w:r>
              <w:rPr>
                <w:rFonts w:eastAsia="Calibri"/>
                <w:sz w:val="24"/>
              </w:rPr>
              <w:lastRenderedPageBreak/>
              <w:t>2.11</w:t>
            </w:r>
          </w:p>
        </w:tc>
        <w:tc>
          <w:tcPr>
            <w:tcW w:w="2693" w:type="dxa"/>
          </w:tcPr>
          <w:p w14:paraId="7B62F0EE" w14:textId="70CE6EF1" w:rsidR="009E618A" w:rsidRPr="00F8748E" w:rsidRDefault="006437C1" w:rsidP="002B0391">
            <w:pPr>
              <w:spacing w:before="40"/>
              <w:jc w:val="both"/>
              <w:rPr>
                <w:rFonts w:eastAsia="Calibri"/>
                <w:bCs/>
                <w:sz w:val="24"/>
                <w:lang w:val="nl-NL"/>
              </w:rPr>
            </w:pPr>
            <w:r w:rsidRPr="006437C1">
              <w:rPr>
                <w:rFonts w:eastAsia="Calibri"/>
                <w:bCs/>
                <w:sz w:val="24"/>
                <w:lang w:val="nl-NL"/>
              </w:rPr>
              <w:t>Về điều chỉnh chủ trương đầu tư (Điều 20)</w:t>
            </w:r>
          </w:p>
        </w:tc>
        <w:tc>
          <w:tcPr>
            <w:tcW w:w="5670" w:type="dxa"/>
          </w:tcPr>
          <w:p w14:paraId="23C1D052" w14:textId="5F7AB602" w:rsidR="007644AC" w:rsidRPr="007644AC" w:rsidRDefault="007644AC" w:rsidP="007644AC">
            <w:pPr>
              <w:spacing w:before="40"/>
              <w:jc w:val="both"/>
              <w:rPr>
                <w:rFonts w:eastAsia="Calibri"/>
                <w:sz w:val="24"/>
                <w:lang w:val="vi-VN"/>
              </w:rPr>
            </w:pPr>
            <w:r w:rsidRPr="007644AC">
              <w:rPr>
                <w:rFonts w:eastAsia="Calibri"/>
                <w:sz w:val="24"/>
                <w:lang w:val="vi-VN"/>
              </w:rPr>
              <w:t>Quy định tại Điều 20 hiện đang sử dụng cách dẫn chiếu chung “thực hiệ</w:t>
            </w:r>
            <w:r>
              <w:rPr>
                <w:rFonts w:eastAsia="Calibri"/>
                <w:sz w:val="24"/>
                <w:lang w:val="vi-VN"/>
              </w:rPr>
              <w:t>n</w:t>
            </w:r>
            <w:r>
              <w:rPr>
                <w:rFonts w:eastAsia="Calibri"/>
                <w:sz w:val="24"/>
              </w:rPr>
              <w:t xml:space="preserve"> </w:t>
            </w:r>
            <w:r w:rsidRPr="007644AC">
              <w:rPr>
                <w:rFonts w:eastAsia="Calibri"/>
                <w:sz w:val="24"/>
                <w:lang w:val="vi-VN"/>
              </w:rPr>
              <w:t>theo pháp luật về đầu tư”. Về mặt kỹ thuật lập pháp, cách quy đị</w:t>
            </w:r>
            <w:r>
              <w:rPr>
                <w:rFonts w:eastAsia="Calibri"/>
                <w:sz w:val="24"/>
                <w:lang w:val="vi-VN"/>
              </w:rPr>
              <w:t>nh này có ưu</w:t>
            </w:r>
            <w:r>
              <w:rPr>
                <w:rFonts w:eastAsia="Calibri"/>
                <w:sz w:val="24"/>
              </w:rPr>
              <w:t xml:space="preserve"> </w:t>
            </w:r>
            <w:r w:rsidRPr="007644AC">
              <w:rPr>
                <w:rFonts w:eastAsia="Calibri"/>
                <w:sz w:val="24"/>
                <w:lang w:val="vi-VN"/>
              </w:rPr>
              <w:t>điểm là bảo đảm tính linh hoạt và bao quát, tuy nhiên lại chưa đủ</w:t>
            </w:r>
            <w:r>
              <w:rPr>
                <w:rFonts w:eastAsia="Calibri"/>
                <w:sz w:val="24"/>
                <w:lang w:val="vi-VN"/>
              </w:rPr>
              <w:t xml:space="preserve"> rõ ràng trong</w:t>
            </w:r>
            <w:r>
              <w:rPr>
                <w:rFonts w:eastAsia="Calibri"/>
                <w:sz w:val="24"/>
              </w:rPr>
              <w:t xml:space="preserve"> </w:t>
            </w:r>
            <w:r w:rsidRPr="007644AC">
              <w:rPr>
                <w:rFonts w:eastAsia="Calibri"/>
                <w:sz w:val="24"/>
                <w:lang w:val="vi-VN"/>
              </w:rPr>
              <w:t>việc xác định phạm vi áp dụng cụ thể của từng luật chuyên ngành. Trong thự</w:t>
            </w:r>
            <w:r>
              <w:rPr>
                <w:rFonts w:eastAsia="Calibri"/>
                <w:sz w:val="24"/>
                <w:lang w:val="vi-VN"/>
              </w:rPr>
              <w:t>c</w:t>
            </w:r>
            <w:r>
              <w:rPr>
                <w:rFonts w:eastAsia="Calibri"/>
                <w:sz w:val="24"/>
              </w:rPr>
              <w:t xml:space="preserve"> </w:t>
            </w:r>
            <w:r w:rsidRPr="007644AC">
              <w:rPr>
                <w:rFonts w:eastAsia="Calibri"/>
                <w:sz w:val="24"/>
                <w:lang w:val="vi-VN"/>
              </w:rPr>
              <w:t>tiễn, hoạt động điều chỉnh chủ trương đầu tư có thể thuộc phạm vi điều chỉnh củ</w:t>
            </w:r>
            <w:r>
              <w:rPr>
                <w:rFonts w:eastAsia="Calibri"/>
                <w:sz w:val="24"/>
                <w:lang w:val="vi-VN"/>
              </w:rPr>
              <w:t>a</w:t>
            </w:r>
            <w:r>
              <w:rPr>
                <w:rFonts w:eastAsia="Calibri"/>
                <w:sz w:val="24"/>
              </w:rPr>
              <w:t xml:space="preserve"> </w:t>
            </w:r>
            <w:r w:rsidRPr="007644AC">
              <w:rPr>
                <w:rFonts w:eastAsia="Calibri"/>
                <w:sz w:val="24"/>
                <w:lang w:val="vi-VN"/>
              </w:rPr>
              <w:t>nhiều luật khác nhau như: Luật Đầu tư; Luật Đầu tư công; Luật Đầ</w:t>
            </w:r>
            <w:r>
              <w:rPr>
                <w:rFonts w:eastAsia="Calibri"/>
                <w:sz w:val="24"/>
                <w:lang w:val="vi-VN"/>
              </w:rPr>
              <w:t>u tư theo</w:t>
            </w:r>
            <w:r>
              <w:rPr>
                <w:rFonts w:eastAsia="Calibri"/>
                <w:sz w:val="24"/>
              </w:rPr>
              <w:t xml:space="preserve"> </w:t>
            </w:r>
            <w:r w:rsidRPr="007644AC">
              <w:rPr>
                <w:rFonts w:eastAsia="Calibri"/>
                <w:sz w:val="24"/>
                <w:lang w:val="vi-VN"/>
              </w:rPr>
              <w:t>phương thức đối tác công tư (PPP); tùy thuộc vào tính chất, nguồn vốn và loạ</w:t>
            </w:r>
            <w:r>
              <w:rPr>
                <w:rFonts w:eastAsia="Calibri"/>
                <w:sz w:val="24"/>
                <w:lang w:val="vi-VN"/>
              </w:rPr>
              <w:t>i</w:t>
            </w:r>
            <w:r>
              <w:rPr>
                <w:rFonts w:eastAsia="Calibri"/>
                <w:sz w:val="24"/>
              </w:rPr>
              <w:t xml:space="preserve"> </w:t>
            </w:r>
            <w:r w:rsidRPr="007644AC">
              <w:rPr>
                <w:rFonts w:eastAsia="Calibri"/>
                <w:sz w:val="24"/>
                <w:lang w:val="vi-VN"/>
              </w:rPr>
              <w:t>hình dự án.</w:t>
            </w:r>
          </w:p>
          <w:p w14:paraId="7E566104" w14:textId="77777777" w:rsidR="009E618A" w:rsidRDefault="007644AC" w:rsidP="007644AC">
            <w:pPr>
              <w:spacing w:before="40"/>
              <w:jc w:val="both"/>
              <w:rPr>
                <w:rFonts w:eastAsia="Calibri"/>
                <w:sz w:val="24"/>
                <w:lang w:val="vi-VN"/>
              </w:rPr>
            </w:pPr>
            <w:r w:rsidRPr="007644AC">
              <w:rPr>
                <w:rFonts w:eastAsia="Calibri"/>
                <w:sz w:val="24"/>
                <w:lang w:val="vi-VN"/>
              </w:rPr>
              <w:t>Việc không xác định rõ trường hợp áp dụng từng luật có thể dẫn đến sự</w:t>
            </w:r>
            <w:r>
              <w:rPr>
                <w:rFonts w:eastAsia="Calibri"/>
                <w:sz w:val="24"/>
                <w:lang w:val="vi-VN"/>
              </w:rPr>
              <w:t xml:space="preserve"> khó</w:t>
            </w:r>
            <w:r>
              <w:rPr>
                <w:rFonts w:eastAsia="Calibri"/>
                <w:sz w:val="24"/>
              </w:rPr>
              <w:t xml:space="preserve"> </w:t>
            </w:r>
            <w:r w:rsidRPr="007644AC">
              <w:rPr>
                <w:rFonts w:eastAsia="Calibri"/>
                <w:sz w:val="24"/>
                <w:lang w:val="vi-VN"/>
              </w:rPr>
              <w:t>khăn trong việc xác định trình tự thủ tục áp dụng; không thống nhất trong thự</w:t>
            </w:r>
            <w:r>
              <w:rPr>
                <w:rFonts w:eastAsia="Calibri"/>
                <w:sz w:val="24"/>
                <w:lang w:val="vi-VN"/>
              </w:rPr>
              <w:t>c thi</w:t>
            </w:r>
            <w:r>
              <w:rPr>
                <w:rFonts w:eastAsia="Calibri"/>
                <w:sz w:val="24"/>
              </w:rPr>
              <w:t xml:space="preserve"> </w:t>
            </w:r>
            <w:r w:rsidRPr="007644AC">
              <w:rPr>
                <w:rFonts w:eastAsia="Calibri"/>
                <w:sz w:val="24"/>
                <w:lang w:val="vi-VN"/>
              </w:rPr>
              <w:t>giữa các cơ quan có thẩm quyền; nguy cơ áp dụng không đồng nhất giữa các loạ</w:t>
            </w:r>
            <w:r>
              <w:rPr>
                <w:rFonts w:eastAsia="Calibri"/>
                <w:sz w:val="24"/>
                <w:lang w:val="vi-VN"/>
              </w:rPr>
              <w:t>i</w:t>
            </w:r>
            <w:r>
              <w:rPr>
                <w:rFonts w:eastAsia="Calibri"/>
                <w:sz w:val="24"/>
              </w:rPr>
              <w:t xml:space="preserve"> </w:t>
            </w:r>
            <w:r w:rsidRPr="007644AC">
              <w:rPr>
                <w:rFonts w:eastAsia="Calibri"/>
                <w:sz w:val="24"/>
                <w:lang w:val="vi-VN"/>
              </w:rPr>
              <w:t>dự án tương tự.</w:t>
            </w:r>
          </w:p>
          <w:p w14:paraId="1DC1C8AF" w14:textId="4ADFF970" w:rsidR="00A40101" w:rsidRPr="00A40101" w:rsidRDefault="00A40101" w:rsidP="00A40101">
            <w:pPr>
              <w:spacing w:before="40"/>
              <w:jc w:val="both"/>
              <w:rPr>
                <w:rFonts w:eastAsia="Calibri"/>
                <w:sz w:val="24"/>
              </w:rPr>
            </w:pPr>
            <w:r w:rsidRPr="00A40101">
              <w:rPr>
                <w:rFonts w:eastAsia="Calibri"/>
                <w:sz w:val="24"/>
                <w:lang w:val="vi-VN"/>
              </w:rPr>
              <w:t>Đề nghị dự thảo làm rõ nguyên tắc xác định luật áp dụng theo từng loại dự</w:t>
            </w:r>
            <w:r>
              <w:rPr>
                <w:rFonts w:eastAsia="Calibri"/>
                <w:sz w:val="24"/>
              </w:rPr>
              <w:t xml:space="preserve"> </w:t>
            </w:r>
            <w:r w:rsidRPr="00A40101">
              <w:rPr>
                <w:rFonts w:eastAsia="Calibri"/>
                <w:sz w:val="24"/>
                <w:lang w:val="vi-VN"/>
              </w:rPr>
              <w:t>án, bổ sung điều khoản giải thích để xác định thứ tự ưu tiên áp dụng giữa Luật</w:t>
            </w:r>
            <w:r>
              <w:rPr>
                <w:rFonts w:eastAsia="Calibri"/>
                <w:sz w:val="24"/>
              </w:rPr>
              <w:t xml:space="preserve"> </w:t>
            </w:r>
            <w:r w:rsidRPr="00A40101">
              <w:rPr>
                <w:rFonts w:eastAsia="Calibri"/>
                <w:sz w:val="24"/>
              </w:rPr>
              <w:t xml:space="preserve">Đầu tư, Luật Đầu tư công và Luật PPP, tránh quy định mang tính khái </w:t>
            </w:r>
            <w:r w:rsidR="001E52D7">
              <w:rPr>
                <w:rFonts w:eastAsia="Calibri"/>
                <w:sz w:val="24"/>
              </w:rPr>
              <w:t xml:space="preserve">quát quá </w:t>
            </w:r>
            <w:r w:rsidRPr="00A40101">
              <w:rPr>
                <w:rFonts w:eastAsia="Calibri"/>
                <w:sz w:val="24"/>
              </w:rPr>
              <w:t>mức dẫn đến khó khăn trong áp dụng thực tiễn.</w:t>
            </w:r>
          </w:p>
        </w:tc>
        <w:tc>
          <w:tcPr>
            <w:tcW w:w="5245" w:type="dxa"/>
          </w:tcPr>
          <w:p w14:paraId="5C4C198A" w14:textId="4BA45454" w:rsidR="004005A5" w:rsidRPr="004005A5" w:rsidRDefault="004005A5" w:rsidP="004005A5">
            <w:pPr>
              <w:spacing w:before="40"/>
              <w:jc w:val="both"/>
              <w:rPr>
                <w:rFonts w:eastAsia="Calibri"/>
                <w:sz w:val="24"/>
                <w:lang w:val="vi-VN"/>
              </w:rPr>
            </w:pPr>
            <w:r w:rsidRPr="004005A5">
              <w:rPr>
                <w:rFonts w:eastAsia="Calibri"/>
                <w:sz w:val="24"/>
                <w:lang w:val="vi-VN"/>
              </w:rPr>
              <w:t>Ý kiến góp ý nêu trên đã được cơ quan soạn thảo nghiên cứu trong quá trình thiết kế quy định tại Điều 20 theo hướng bảo đảm tính thống nhất với hệ thống pháp luật hiện hành và nguyên tắc áp dụng pháp luậ</w:t>
            </w:r>
            <w:r>
              <w:rPr>
                <w:rFonts w:eastAsia="Calibri"/>
                <w:sz w:val="24"/>
                <w:lang w:val="vi-VN"/>
              </w:rPr>
              <w:t>t chuyên ngành.</w:t>
            </w:r>
          </w:p>
          <w:p w14:paraId="40EEC7FA" w14:textId="1F12CD8C" w:rsidR="004005A5" w:rsidRPr="004005A5" w:rsidRDefault="004005A5" w:rsidP="004005A5">
            <w:pPr>
              <w:spacing w:before="40"/>
              <w:jc w:val="both"/>
              <w:rPr>
                <w:rFonts w:eastAsia="Calibri"/>
                <w:sz w:val="24"/>
                <w:lang w:val="vi-VN"/>
              </w:rPr>
            </w:pPr>
            <w:r w:rsidRPr="004005A5">
              <w:rPr>
                <w:rFonts w:eastAsia="Calibri"/>
                <w:sz w:val="24"/>
                <w:lang w:val="vi-VN"/>
              </w:rPr>
              <w:t>Theo đó, việc sử dụng cách dẫn chiếu “thực hiện theo pháp luật về đầu tư” là có chủ đích nhằm bảo đảm tính bao quát và linh hoạt, trong bối cảnh các dự án thuộc phạm vi điều chỉnh của Nghị quyết có thể phát sinh trong nhiều lĩnh vực khác nhau như đầu tư công, đầu tư theo phương thức đối tác công tư (PPP) hoặc đầu tư theo Luật Đầu tư. Việc tách riêng và xác định thứ tự ưu tiên áp dụng từng luật trong Nghị quyết có thể dẫn đến nguy cơ chồng chéo hoặc mâu thuẫn với chính hệ thống quy định hiện hành của pháp luậ</w:t>
            </w:r>
            <w:r>
              <w:rPr>
                <w:rFonts w:eastAsia="Calibri"/>
                <w:sz w:val="24"/>
                <w:lang w:val="vi-VN"/>
              </w:rPr>
              <w:t>t chuyên ngành.</w:t>
            </w:r>
          </w:p>
          <w:p w14:paraId="2E3C9C8B" w14:textId="237AA733" w:rsidR="009E618A" w:rsidRPr="007E63B4" w:rsidRDefault="004005A5" w:rsidP="004005A5">
            <w:pPr>
              <w:spacing w:before="40"/>
              <w:jc w:val="both"/>
              <w:rPr>
                <w:rFonts w:eastAsia="Calibri"/>
                <w:sz w:val="24"/>
                <w:lang w:val="vi-VN"/>
              </w:rPr>
            </w:pPr>
            <w:r w:rsidRPr="004005A5">
              <w:rPr>
                <w:rFonts w:eastAsia="Calibri"/>
                <w:sz w:val="24"/>
                <w:lang w:val="vi-VN"/>
              </w:rPr>
              <w:t xml:space="preserve">Bên cạnh đó, nguyên tắc xác định luật áp dụng đã được xử lý thông qua việc phân loại dự án ngay từ giai đoạn xác định chủ trương đầu tư và cơ chế giao cơ quan có thẩm quyền tương ứng tổ chức thực hiện </w:t>
            </w:r>
            <w:r w:rsidRPr="004005A5">
              <w:rPr>
                <w:rFonts w:eastAsia="Calibri"/>
                <w:sz w:val="24"/>
                <w:lang w:val="vi-VN"/>
              </w:rPr>
              <w:lastRenderedPageBreak/>
              <w:t>theo đúng luật chuyên ngành điều chỉnh. Cách tiếp cận này bảo đảm mỗi loại dự án được điều chỉnh bởi hệ thống pháp luật tương ứng, đồng thời tránh việc “luật hóa thứ bậc áp dụng” trong một nghị quyết cấp địa phương, qua đó bảo đảm tính thống nhất, đồng bộ của hệ thống pháp luật và thuận lợi trong tổ chức thực hiện trên thực tiễn.</w:t>
            </w:r>
          </w:p>
        </w:tc>
      </w:tr>
    </w:tbl>
    <w:p w14:paraId="35855D03" w14:textId="77777777" w:rsidR="00D00045" w:rsidRPr="007E63B4" w:rsidRDefault="00D00045" w:rsidP="00C75346">
      <w:pPr>
        <w:spacing w:before="40" w:after="40"/>
        <w:rPr>
          <w:sz w:val="24"/>
          <w:lang w:val="vi-VN"/>
        </w:rPr>
      </w:pPr>
    </w:p>
    <w:sectPr w:rsidR="00D00045" w:rsidRPr="007E63B4" w:rsidSect="00611D2C">
      <w:headerReference w:type="default" r:id="rId8"/>
      <w:pgSz w:w="16838" w:h="11906"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DEF48" w14:textId="77777777" w:rsidR="001512A1" w:rsidRDefault="001512A1" w:rsidP="005C0091">
      <w:r>
        <w:separator/>
      </w:r>
    </w:p>
  </w:endnote>
  <w:endnote w:type="continuationSeparator" w:id="0">
    <w:p w14:paraId="04B68D2B" w14:textId="77777777" w:rsidR="001512A1" w:rsidRDefault="001512A1" w:rsidP="005C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8BC73" w14:textId="77777777" w:rsidR="001512A1" w:rsidRDefault="001512A1" w:rsidP="005C0091">
      <w:r>
        <w:separator/>
      </w:r>
    </w:p>
  </w:footnote>
  <w:footnote w:type="continuationSeparator" w:id="0">
    <w:p w14:paraId="5201C044" w14:textId="77777777" w:rsidR="001512A1" w:rsidRDefault="001512A1" w:rsidP="005C00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D908B" w14:textId="1D6B0D3A" w:rsidR="00F63D05" w:rsidRPr="00611D2C" w:rsidRDefault="00F63D05">
    <w:pPr>
      <w:pStyle w:val="Header"/>
      <w:jc w:val="center"/>
      <w:rPr>
        <w:sz w:val="24"/>
      </w:rPr>
    </w:pPr>
    <w:r w:rsidRPr="00611D2C">
      <w:rPr>
        <w:sz w:val="24"/>
      </w:rPr>
      <w:fldChar w:fldCharType="begin"/>
    </w:r>
    <w:r w:rsidRPr="00611D2C">
      <w:rPr>
        <w:sz w:val="24"/>
      </w:rPr>
      <w:instrText xml:space="preserve"> PAGE   \* MERGEFORMAT </w:instrText>
    </w:r>
    <w:r w:rsidRPr="00611D2C">
      <w:rPr>
        <w:sz w:val="24"/>
      </w:rPr>
      <w:fldChar w:fldCharType="separate"/>
    </w:r>
    <w:r w:rsidR="00373337">
      <w:rPr>
        <w:noProof/>
        <w:sz w:val="24"/>
      </w:rPr>
      <w:t>14</w:t>
    </w:r>
    <w:r w:rsidRPr="00611D2C">
      <w:rPr>
        <w:noProof/>
        <w:sz w:val="24"/>
      </w:rPr>
      <w:fldChar w:fldCharType="end"/>
    </w:r>
  </w:p>
  <w:p w14:paraId="3C5ED892" w14:textId="77777777" w:rsidR="00F63D05" w:rsidRDefault="00F63D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A46"/>
    <w:multiLevelType w:val="hybridMultilevel"/>
    <w:tmpl w:val="228E282E"/>
    <w:lvl w:ilvl="0" w:tplc="33548EA6">
      <w:start w:val="1"/>
      <w:numFmt w:val="bullet"/>
      <w:lvlText w:val="-"/>
      <w:lvlJc w:val="left"/>
      <w:pPr>
        <w:ind w:left="856" w:hanging="360"/>
      </w:pPr>
      <w:rPr>
        <w:rFonts w:ascii="Times New Roman" w:eastAsia="Times New Roman" w:hAnsi="Times New Roman" w:cs="Times New Roman"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 w15:restartNumberingAfterBreak="0">
    <w:nsid w:val="05E962A9"/>
    <w:multiLevelType w:val="hybridMultilevel"/>
    <w:tmpl w:val="D1B22BE0"/>
    <w:lvl w:ilvl="0" w:tplc="0CB84DFA">
      <w:start w:val="1"/>
      <w:numFmt w:val="decimal"/>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2" w15:restartNumberingAfterBreak="0">
    <w:nsid w:val="19464B04"/>
    <w:multiLevelType w:val="hybridMultilevel"/>
    <w:tmpl w:val="46C2D5EC"/>
    <w:lvl w:ilvl="0" w:tplc="00B46A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1F33130"/>
    <w:multiLevelType w:val="hybridMultilevel"/>
    <w:tmpl w:val="FF3AEE4A"/>
    <w:lvl w:ilvl="0" w:tplc="F00235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FA74A8F"/>
    <w:multiLevelType w:val="hybridMultilevel"/>
    <w:tmpl w:val="F6F0E53A"/>
    <w:lvl w:ilvl="0" w:tplc="8D4E76D8">
      <w:start w:val="1"/>
      <w:numFmt w:val="decimal"/>
      <w:suff w:val="space"/>
      <w:lvlText w:val="Điều %1."/>
      <w:lvlJc w:val="left"/>
      <w:pPr>
        <w:ind w:left="3392" w:firstLine="720"/>
      </w:pPr>
      <w:rPr>
        <w:rFonts w:ascii="Times New Roman" w:hAnsi="Times New Roman" w:cs="Times New Roman" w:hint="default"/>
        <w:b/>
        <w:i w:val="0"/>
        <w:sz w:val="28"/>
      </w:rPr>
    </w:lvl>
    <w:lvl w:ilvl="1" w:tplc="7F3ED43E">
      <w:start w:val="1"/>
      <w:numFmt w:val="decimal"/>
      <w:lvlText w:val="%2."/>
      <w:lvlJc w:val="left"/>
      <w:pPr>
        <w:tabs>
          <w:tab w:val="num" w:pos="1430"/>
        </w:tabs>
        <w:ind w:left="-10" w:firstLine="720"/>
      </w:pPr>
      <w:rPr>
        <w:rFonts w:hint="default"/>
      </w:r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5" w15:restartNumberingAfterBreak="0">
    <w:nsid w:val="495E68C9"/>
    <w:multiLevelType w:val="hybridMultilevel"/>
    <w:tmpl w:val="24D69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2153C"/>
    <w:multiLevelType w:val="multilevel"/>
    <w:tmpl w:val="9AFAFD74"/>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60893CDD"/>
    <w:multiLevelType w:val="hybridMultilevel"/>
    <w:tmpl w:val="80023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1"/>
  </w:num>
  <w:num w:numId="5">
    <w:abstractNumId w:val="0"/>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46C"/>
    <w:rsid w:val="00000C05"/>
    <w:rsid w:val="00001884"/>
    <w:rsid w:val="00002901"/>
    <w:rsid w:val="000062E2"/>
    <w:rsid w:val="000102E9"/>
    <w:rsid w:val="00011966"/>
    <w:rsid w:val="00011EF4"/>
    <w:rsid w:val="00013BFD"/>
    <w:rsid w:val="00015CCE"/>
    <w:rsid w:val="00016761"/>
    <w:rsid w:val="00017239"/>
    <w:rsid w:val="000172BB"/>
    <w:rsid w:val="000200CF"/>
    <w:rsid w:val="0002036C"/>
    <w:rsid w:val="00020E0C"/>
    <w:rsid w:val="0002197D"/>
    <w:rsid w:val="00021D55"/>
    <w:rsid w:val="0002378D"/>
    <w:rsid w:val="00024A49"/>
    <w:rsid w:val="0003111A"/>
    <w:rsid w:val="00031F8D"/>
    <w:rsid w:val="00032684"/>
    <w:rsid w:val="000329E3"/>
    <w:rsid w:val="000331D1"/>
    <w:rsid w:val="000343D8"/>
    <w:rsid w:val="00035460"/>
    <w:rsid w:val="0003644A"/>
    <w:rsid w:val="0003667F"/>
    <w:rsid w:val="00036787"/>
    <w:rsid w:val="00040748"/>
    <w:rsid w:val="00041204"/>
    <w:rsid w:val="00041478"/>
    <w:rsid w:val="000438E4"/>
    <w:rsid w:val="00043F96"/>
    <w:rsid w:val="00044797"/>
    <w:rsid w:val="000447B0"/>
    <w:rsid w:val="00044C80"/>
    <w:rsid w:val="000500D4"/>
    <w:rsid w:val="00052E91"/>
    <w:rsid w:val="0005333A"/>
    <w:rsid w:val="00053C44"/>
    <w:rsid w:val="0005424F"/>
    <w:rsid w:val="0005432F"/>
    <w:rsid w:val="0005447E"/>
    <w:rsid w:val="00055192"/>
    <w:rsid w:val="000573CB"/>
    <w:rsid w:val="00057F83"/>
    <w:rsid w:val="00057FED"/>
    <w:rsid w:val="0006000E"/>
    <w:rsid w:val="000604FD"/>
    <w:rsid w:val="00061F66"/>
    <w:rsid w:val="000620C7"/>
    <w:rsid w:val="000623AF"/>
    <w:rsid w:val="00062508"/>
    <w:rsid w:val="00063A02"/>
    <w:rsid w:val="0006517E"/>
    <w:rsid w:val="000659F9"/>
    <w:rsid w:val="00066EB7"/>
    <w:rsid w:val="00067725"/>
    <w:rsid w:val="00067F9F"/>
    <w:rsid w:val="0007162F"/>
    <w:rsid w:val="000731B0"/>
    <w:rsid w:val="00073414"/>
    <w:rsid w:val="00074950"/>
    <w:rsid w:val="00075231"/>
    <w:rsid w:val="00075A75"/>
    <w:rsid w:val="00075C64"/>
    <w:rsid w:val="00076A4A"/>
    <w:rsid w:val="00076BA4"/>
    <w:rsid w:val="00077B3B"/>
    <w:rsid w:val="00077C51"/>
    <w:rsid w:val="00081304"/>
    <w:rsid w:val="000813BA"/>
    <w:rsid w:val="00081766"/>
    <w:rsid w:val="00081C06"/>
    <w:rsid w:val="0008244E"/>
    <w:rsid w:val="0008442C"/>
    <w:rsid w:val="00084653"/>
    <w:rsid w:val="000847A7"/>
    <w:rsid w:val="000854C9"/>
    <w:rsid w:val="00085EF8"/>
    <w:rsid w:val="0008635F"/>
    <w:rsid w:val="00086B7B"/>
    <w:rsid w:val="000901A8"/>
    <w:rsid w:val="000907D5"/>
    <w:rsid w:val="00090925"/>
    <w:rsid w:val="00093528"/>
    <w:rsid w:val="00093774"/>
    <w:rsid w:val="00094983"/>
    <w:rsid w:val="000969F6"/>
    <w:rsid w:val="00096FA5"/>
    <w:rsid w:val="000A024D"/>
    <w:rsid w:val="000A100E"/>
    <w:rsid w:val="000A32CB"/>
    <w:rsid w:val="000A3BC9"/>
    <w:rsid w:val="000A3D12"/>
    <w:rsid w:val="000A3F91"/>
    <w:rsid w:val="000A3F9F"/>
    <w:rsid w:val="000A74F9"/>
    <w:rsid w:val="000B0184"/>
    <w:rsid w:val="000B05EA"/>
    <w:rsid w:val="000B0B50"/>
    <w:rsid w:val="000B2283"/>
    <w:rsid w:val="000B3BE4"/>
    <w:rsid w:val="000B466E"/>
    <w:rsid w:val="000B5110"/>
    <w:rsid w:val="000B608C"/>
    <w:rsid w:val="000B6481"/>
    <w:rsid w:val="000B6D15"/>
    <w:rsid w:val="000B72A6"/>
    <w:rsid w:val="000B735C"/>
    <w:rsid w:val="000B7671"/>
    <w:rsid w:val="000B791F"/>
    <w:rsid w:val="000C01BD"/>
    <w:rsid w:val="000C09CF"/>
    <w:rsid w:val="000C107C"/>
    <w:rsid w:val="000C2091"/>
    <w:rsid w:val="000C26D3"/>
    <w:rsid w:val="000C2D36"/>
    <w:rsid w:val="000C38A2"/>
    <w:rsid w:val="000C46C8"/>
    <w:rsid w:val="000C5037"/>
    <w:rsid w:val="000C5156"/>
    <w:rsid w:val="000C5AC1"/>
    <w:rsid w:val="000C5FCC"/>
    <w:rsid w:val="000C6ACF"/>
    <w:rsid w:val="000D0A4B"/>
    <w:rsid w:val="000D1CE8"/>
    <w:rsid w:val="000D1CF0"/>
    <w:rsid w:val="000D2178"/>
    <w:rsid w:val="000D2881"/>
    <w:rsid w:val="000D33A0"/>
    <w:rsid w:val="000D33CD"/>
    <w:rsid w:val="000D383B"/>
    <w:rsid w:val="000D41F6"/>
    <w:rsid w:val="000D5B94"/>
    <w:rsid w:val="000D5C06"/>
    <w:rsid w:val="000D7567"/>
    <w:rsid w:val="000D782C"/>
    <w:rsid w:val="000E0E65"/>
    <w:rsid w:val="000E0F91"/>
    <w:rsid w:val="000E106B"/>
    <w:rsid w:val="000F015E"/>
    <w:rsid w:val="000F36FB"/>
    <w:rsid w:val="000F55BF"/>
    <w:rsid w:val="000F5E86"/>
    <w:rsid w:val="000F6020"/>
    <w:rsid w:val="000F6CF9"/>
    <w:rsid w:val="000F7A72"/>
    <w:rsid w:val="001007FE"/>
    <w:rsid w:val="00100984"/>
    <w:rsid w:val="00100A42"/>
    <w:rsid w:val="00100BD5"/>
    <w:rsid w:val="00101735"/>
    <w:rsid w:val="0010253B"/>
    <w:rsid w:val="001034E1"/>
    <w:rsid w:val="00106952"/>
    <w:rsid w:val="00106D06"/>
    <w:rsid w:val="00110B32"/>
    <w:rsid w:val="00112287"/>
    <w:rsid w:val="001124F6"/>
    <w:rsid w:val="001149CA"/>
    <w:rsid w:val="00114B6E"/>
    <w:rsid w:val="00114C2C"/>
    <w:rsid w:val="00115047"/>
    <w:rsid w:val="00115266"/>
    <w:rsid w:val="00115EB3"/>
    <w:rsid w:val="00115F90"/>
    <w:rsid w:val="00116833"/>
    <w:rsid w:val="00120343"/>
    <w:rsid w:val="00120ECD"/>
    <w:rsid w:val="00121381"/>
    <w:rsid w:val="00123699"/>
    <w:rsid w:val="001244F3"/>
    <w:rsid w:val="0012565D"/>
    <w:rsid w:val="00125EB5"/>
    <w:rsid w:val="0012779A"/>
    <w:rsid w:val="00127AF6"/>
    <w:rsid w:val="00131C56"/>
    <w:rsid w:val="0013209D"/>
    <w:rsid w:val="00132B62"/>
    <w:rsid w:val="0013367C"/>
    <w:rsid w:val="00133B1E"/>
    <w:rsid w:val="00133CDC"/>
    <w:rsid w:val="00134018"/>
    <w:rsid w:val="00134052"/>
    <w:rsid w:val="00134303"/>
    <w:rsid w:val="00134855"/>
    <w:rsid w:val="001362FF"/>
    <w:rsid w:val="00136E2C"/>
    <w:rsid w:val="0013746C"/>
    <w:rsid w:val="001378D4"/>
    <w:rsid w:val="00137BB6"/>
    <w:rsid w:val="00140069"/>
    <w:rsid w:val="0014060D"/>
    <w:rsid w:val="00140822"/>
    <w:rsid w:val="00141FDC"/>
    <w:rsid w:val="001423E3"/>
    <w:rsid w:val="00143E83"/>
    <w:rsid w:val="0014459D"/>
    <w:rsid w:val="0014472C"/>
    <w:rsid w:val="00145249"/>
    <w:rsid w:val="00145705"/>
    <w:rsid w:val="001459BA"/>
    <w:rsid w:val="0014667F"/>
    <w:rsid w:val="00147A42"/>
    <w:rsid w:val="001501C5"/>
    <w:rsid w:val="001512A1"/>
    <w:rsid w:val="00151584"/>
    <w:rsid w:val="00151C45"/>
    <w:rsid w:val="00152030"/>
    <w:rsid w:val="001529AA"/>
    <w:rsid w:val="00152F12"/>
    <w:rsid w:val="001537AA"/>
    <w:rsid w:val="00155F0B"/>
    <w:rsid w:val="001577A7"/>
    <w:rsid w:val="001618ED"/>
    <w:rsid w:val="00162225"/>
    <w:rsid w:val="00162585"/>
    <w:rsid w:val="00162A74"/>
    <w:rsid w:val="0016372D"/>
    <w:rsid w:val="0016452E"/>
    <w:rsid w:val="001646B6"/>
    <w:rsid w:val="001647EC"/>
    <w:rsid w:val="00164AB4"/>
    <w:rsid w:val="001653BB"/>
    <w:rsid w:val="0016601A"/>
    <w:rsid w:val="00166DC2"/>
    <w:rsid w:val="00170DAC"/>
    <w:rsid w:val="00174256"/>
    <w:rsid w:val="00176947"/>
    <w:rsid w:val="00176DDC"/>
    <w:rsid w:val="00177D88"/>
    <w:rsid w:val="00177F2F"/>
    <w:rsid w:val="00180837"/>
    <w:rsid w:val="00180CA3"/>
    <w:rsid w:val="0018196C"/>
    <w:rsid w:val="001826C0"/>
    <w:rsid w:val="00185AE5"/>
    <w:rsid w:val="00185AEA"/>
    <w:rsid w:val="0018719F"/>
    <w:rsid w:val="00187AAD"/>
    <w:rsid w:val="001909F7"/>
    <w:rsid w:val="00191646"/>
    <w:rsid w:val="0019182F"/>
    <w:rsid w:val="001926D0"/>
    <w:rsid w:val="0019380E"/>
    <w:rsid w:val="00193C17"/>
    <w:rsid w:val="00194346"/>
    <w:rsid w:val="0019490E"/>
    <w:rsid w:val="00196F6C"/>
    <w:rsid w:val="001A0EC6"/>
    <w:rsid w:val="001A12E6"/>
    <w:rsid w:val="001A3522"/>
    <w:rsid w:val="001A4AA9"/>
    <w:rsid w:val="001A634A"/>
    <w:rsid w:val="001A7128"/>
    <w:rsid w:val="001B0732"/>
    <w:rsid w:val="001B0EA4"/>
    <w:rsid w:val="001B103D"/>
    <w:rsid w:val="001B1745"/>
    <w:rsid w:val="001B195D"/>
    <w:rsid w:val="001B244B"/>
    <w:rsid w:val="001B4F20"/>
    <w:rsid w:val="001B6342"/>
    <w:rsid w:val="001B6C71"/>
    <w:rsid w:val="001B71B0"/>
    <w:rsid w:val="001B7535"/>
    <w:rsid w:val="001B75C4"/>
    <w:rsid w:val="001C0453"/>
    <w:rsid w:val="001C131F"/>
    <w:rsid w:val="001C1742"/>
    <w:rsid w:val="001C316B"/>
    <w:rsid w:val="001C530F"/>
    <w:rsid w:val="001C69F0"/>
    <w:rsid w:val="001C6A1E"/>
    <w:rsid w:val="001C7894"/>
    <w:rsid w:val="001C7C86"/>
    <w:rsid w:val="001D0571"/>
    <w:rsid w:val="001D0E24"/>
    <w:rsid w:val="001D182B"/>
    <w:rsid w:val="001D3903"/>
    <w:rsid w:val="001D47B8"/>
    <w:rsid w:val="001D4AC2"/>
    <w:rsid w:val="001D4BD3"/>
    <w:rsid w:val="001D4E20"/>
    <w:rsid w:val="001D587F"/>
    <w:rsid w:val="001D58B0"/>
    <w:rsid w:val="001D6753"/>
    <w:rsid w:val="001D7447"/>
    <w:rsid w:val="001E01B2"/>
    <w:rsid w:val="001E0BB1"/>
    <w:rsid w:val="001E1D1D"/>
    <w:rsid w:val="001E295F"/>
    <w:rsid w:val="001E3A02"/>
    <w:rsid w:val="001E3E09"/>
    <w:rsid w:val="001E52D7"/>
    <w:rsid w:val="001E56F0"/>
    <w:rsid w:val="001E5E6F"/>
    <w:rsid w:val="001E70A4"/>
    <w:rsid w:val="001E7435"/>
    <w:rsid w:val="001F2138"/>
    <w:rsid w:val="001F2286"/>
    <w:rsid w:val="001F3D29"/>
    <w:rsid w:val="001F4857"/>
    <w:rsid w:val="001F587E"/>
    <w:rsid w:val="001F621D"/>
    <w:rsid w:val="001F6F47"/>
    <w:rsid w:val="0020033A"/>
    <w:rsid w:val="002014BA"/>
    <w:rsid w:val="00203572"/>
    <w:rsid w:val="002041D5"/>
    <w:rsid w:val="0020441F"/>
    <w:rsid w:val="00204656"/>
    <w:rsid w:val="002047DE"/>
    <w:rsid w:val="00204E5F"/>
    <w:rsid w:val="00207495"/>
    <w:rsid w:val="002106C7"/>
    <w:rsid w:val="00211537"/>
    <w:rsid w:val="002139AC"/>
    <w:rsid w:val="0021456F"/>
    <w:rsid w:val="00214635"/>
    <w:rsid w:val="00216942"/>
    <w:rsid w:val="00216F8F"/>
    <w:rsid w:val="002210E2"/>
    <w:rsid w:val="00221DEE"/>
    <w:rsid w:val="00221EDE"/>
    <w:rsid w:val="002223B7"/>
    <w:rsid w:val="00222920"/>
    <w:rsid w:val="00222D4B"/>
    <w:rsid w:val="00222D4D"/>
    <w:rsid w:val="00224B6E"/>
    <w:rsid w:val="00224DE5"/>
    <w:rsid w:val="00226400"/>
    <w:rsid w:val="002265BA"/>
    <w:rsid w:val="002267BD"/>
    <w:rsid w:val="002274A8"/>
    <w:rsid w:val="00230207"/>
    <w:rsid w:val="00230796"/>
    <w:rsid w:val="002311FD"/>
    <w:rsid w:val="0023195F"/>
    <w:rsid w:val="00232185"/>
    <w:rsid w:val="002327B2"/>
    <w:rsid w:val="00232C13"/>
    <w:rsid w:val="002330E7"/>
    <w:rsid w:val="00234C50"/>
    <w:rsid w:val="00235A37"/>
    <w:rsid w:val="00235CE0"/>
    <w:rsid w:val="00237902"/>
    <w:rsid w:val="00240235"/>
    <w:rsid w:val="00240D85"/>
    <w:rsid w:val="00240DF5"/>
    <w:rsid w:val="00244772"/>
    <w:rsid w:val="00246E8E"/>
    <w:rsid w:val="00246F53"/>
    <w:rsid w:val="00253020"/>
    <w:rsid w:val="00253225"/>
    <w:rsid w:val="0025347A"/>
    <w:rsid w:val="0025443C"/>
    <w:rsid w:val="00255063"/>
    <w:rsid w:val="00255B56"/>
    <w:rsid w:val="00255CC3"/>
    <w:rsid w:val="002574AD"/>
    <w:rsid w:val="002600F1"/>
    <w:rsid w:val="00260387"/>
    <w:rsid w:val="002619CC"/>
    <w:rsid w:val="00262728"/>
    <w:rsid w:val="00265806"/>
    <w:rsid w:val="00265A1A"/>
    <w:rsid w:val="00266A95"/>
    <w:rsid w:val="00266E6F"/>
    <w:rsid w:val="0026753A"/>
    <w:rsid w:val="00270AB3"/>
    <w:rsid w:val="002711EB"/>
    <w:rsid w:val="00271D30"/>
    <w:rsid w:val="002728F0"/>
    <w:rsid w:val="00272A07"/>
    <w:rsid w:val="00274C74"/>
    <w:rsid w:val="00274C99"/>
    <w:rsid w:val="0027500E"/>
    <w:rsid w:val="0027523F"/>
    <w:rsid w:val="00276074"/>
    <w:rsid w:val="00277553"/>
    <w:rsid w:val="00277EBB"/>
    <w:rsid w:val="00280785"/>
    <w:rsid w:val="00280DF9"/>
    <w:rsid w:val="002811D1"/>
    <w:rsid w:val="00281BCC"/>
    <w:rsid w:val="0028308F"/>
    <w:rsid w:val="002830EF"/>
    <w:rsid w:val="0028491D"/>
    <w:rsid w:val="00284BA1"/>
    <w:rsid w:val="0028590C"/>
    <w:rsid w:val="00286065"/>
    <w:rsid w:val="002860B6"/>
    <w:rsid w:val="00287CE9"/>
    <w:rsid w:val="00291032"/>
    <w:rsid w:val="002911C9"/>
    <w:rsid w:val="0029374B"/>
    <w:rsid w:val="002946C6"/>
    <w:rsid w:val="00294DF9"/>
    <w:rsid w:val="00295D87"/>
    <w:rsid w:val="00296E1A"/>
    <w:rsid w:val="002974A2"/>
    <w:rsid w:val="00297E8E"/>
    <w:rsid w:val="00297F2E"/>
    <w:rsid w:val="002A0257"/>
    <w:rsid w:val="002A03D5"/>
    <w:rsid w:val="002A0D1E"/>
    <w:rsid w:val="002A2D3D"/>
    <w:rsid w:val="002A2F82"/>
    <w:rsid w:val="002A2F88"/>
    <w:rsid w:val="002A3C47"/>
    <w:rsid w:val="002A71B6"/>
    <w:rsid w:val="002A7BB6"/>
    <w:rsid w:val="002B0391"/>
    <w:rsid w:val="002B2F8A"/>
    <w:rsid w:val="002B4158"/>
    <w:rsid w:val="002B45FE"/>
    <w:rsid w:val="002B4A25"/>
    <w:rsid w:val="002B52B6"/>
    <w:rsid w:val="002B59D9"/>
    <w:rsid w:val="002B5D12"/>
    <w:rsid w:val="002C15D4"/>
    <w:rsid w:val="002C1E42"/>
    <w:rsid w:val="002C1F02"/>
    <w:rsid w:val="002C2198"/>
    <w:rsid w:val="002C4544"/>
    <w:rsid w:val="002C46B2"/>
    <w:rsid w:val="002C566C"/>
    <w:rsid w:val="002C5E4A"/>
    <w:rsid w:val="002C6F97"/>
    <w:rsid w:val="002C70DF"/>
    <w:rsid w:val="002D0277"/>
    <w:rsid w:val="002D1309"/>
    <w:rsid w:val="002D193D"/>
    <w:rsid w:val="002D242A"/>
    <w:rsid w:val="002D2644"/>
    <w:rsid w:val="002D4E7A"/>
    <w:rsid w:val="002D5030"/>
    <w:rsid w:val="002D62C6"/>
    <w:rsid w:val="002D7863"/>
    <w:rsid w:val="002E284A"/>
    <w:rsid w:val="002E320A"/>
    <w:rsid w:val="002E473B"/>
    <w:rsid w:val="002E4972"/>
    <w:rsid w:val="002E5720"/>
    <w:rsid w:val="002E6C8A"/>
    <w:rsid w:val="002F0509"/>
    <w:rsid w:val="002F0A93"/>
    <w:rsid w:val="002F3DB9"/>
    <w:rsid w:val="002F3E1F"/>
    <w:rsid w:val="002F4415"/>
    <w:rsid w:val="002F4CA8"/>
    <w:rsid w:val="002F4FDB"/>
    <w:rsid w:val="002F5CFA"/>
    <w:rsid w:val="002F5F4D"/>
    <w:rsid w:val="002F718B"/>
    <w:rsid w:val="002F7C95"/>
    <w:rsid w:val="0030094B"/>
    <w:rsid w:val="00302D2C"/>
    <w:rsid w:val="00303463"/>
    <w:rsid w:val="003039C9"/>
    <w:rsid w:val="003064B3"/>
    <w:rsid w:val="003109A2"/>
    <w:rsid w:val="00311118"/>
    <w:rsid w:val="00311249"/>
    <w:rsid w:val="0031150E"/>
    <w:rsid w:val="00311DD4"/>
    <w:rsid w:val="00311F1A"/>
    <w:rsid w:val="00312CF4"/>
    <w:rsid w:val="00313983"/>
    <w:rsid w:val="00314115"/>
    <w:rsid w:val="003142E8"/>
    <w:rsid w:val="00315499"/>
    <w:rsid w:val="0031555B"/>
    <w:rsid w:val="00315AB9"/>
    <w:rsid w:val="0031741F"/>
    <w:rsid w:val="003201E8"/>
    <w:rsid w:val="00320625"/>
    <w:rsid w:val="003209A8"/>
    <w:rsid w:val="00320EAA"/>
    <w:rsid w:val="003222A7"/>
    <w:rsid w:val="00322A6A"/>
    <w:rsid w:val="00323CD0"/>
    <w:rsid w:val="0032537E"/>
    <w:rsid w:val="00326D41"/>
    <w:rsid w:val="0032705E"/>
    <w:rsid w:val="00327E05"/>
    <w:rsid w:val="00330218"/>
    <w:rsid w:val="00331C99"/>
    <w:rsid w:val="00331C9F"/>
    <w:rsid w:val="00333019"/>
    <w:rsid w:val="0033369C"/>
    <w:rsid w:val="0033480D"/>
    <w:rsid w:val="0034174C"/>
    <w:rsid w:val="00341A47"/>
    <w:rsid w:val="00341D88"/>
    <w:rsid w:val="0034272D"/>
    <w:rsid w:val="00343D1B"/>
    <w:rsid w:val="0034607F"/>
    <w:rsid w:val="003462CF"/>
    <w:rsid w:val="00350413"/>
    <w:rsid w:val="0035048A"/>
    <w:rsid w:val="0035056E"/>
    <w:rsid w:val="00350D84"/>
    <w:rsid w:val="00351520"/>
    <w:rsid w:val="00351F41"/>
    <w:rsid w:val="00352D9F"/>
    <w:rsid w:val="003531AC"/>
    <w:rsid w:val="00353E39"/>
    <w:rsid w:val="003545A9"/>
    <w:rsid w:val="0035486D"/>
    <w:rsid w:val="003555D0"/>
    <w:rsid w:val="003558BF"/>
    <w:rsid w:val="003558EC"/>
    <w:rsid w:val="0035670E"/>
    <w:rsid w:val="00356946"/>
    <w:rsid w:val="00361FD9"/>
    <w:rsid w:val="00362188"/>
    <w:rsid w:val="0036287D"/>
    <w:rsid w:val="003636C4"/>
    <w:rsid w:val="00365ED7"/>
    <w:rsid w:val="0036644F"/>
    <w:rsid w:val="003664DC"/>
    <w:rsid w:val="00366517"/>
    <w:rsid w:val="00366738"/>
    <w:rsid w:val="00366746"/>
    <w:rsid w:val="00366A87"/>
    <w:rsid w:val="0037009E"/>
    <w:rsid w:val="0037019D"/>
    <w:rsid w:val="003705E8"/>
    <w:rsid w:val="00370FD5"/>
    <w:rsid w:val="003711BE"/>
    <w:rsid w:val="0037184E"/>
    <w:rsid w:val="00372068"/>
    <w:rsid w:val="003732F7"/>
    <w:rsid w:val="00373337"/>
    <w:rsid w:val="003743E9"/>
    <w:rsid w:val="003746CE"/>
    <w:rsid w:val="00374A7E"/>
    <w:rsid w:val="00376875"/>
    <w:rsid w:val="0038060B"/>
    <w:rsid w:val="003808EC"/>
    <w:rsid w:val="003809AC"/>
    <w:rsid w:val="00380E40"/>
    <w:rsid w:val="003811F3"/>
    <w:rsid w:val="003813EF"/>
    <w:rsid w:val="00384934"/>
    <w:rsid w:val="00386685"/>
    <w:rsid w:val="003914D3"/>
    <w:rsid w:val="00391D93"/>
    <w:rsid w:val="0039209F"/>
    <w:rsid w:val="0039258E"/>
    <w:rsid w:val="00392CF3"/>
    <w:rsid w:val="00395B87"/>
    <w:rsid w:val="00395D40"/>
    <w:rsid w:val="00396AE8"/>
    <w:rsid w:val="003A05E5"/>
    <w:rsid w:val="003A06E8"/>
    <w:rsid w:val="003A1C6C"/>
    <w:rsid w:val="003A1E04"/>
    <w:rsid w:val="003A1E7F"/>
    <w:rsid w:val="003A3776"/>
    <w:rsid w:val="003A668D"/>
    <w:rsid w:val="003A68C0"/>
    <w:rsid w:val="003A6A1B"/>
    <w:rsid w:val="003A7D06"/>
    <w:rsid w:val="003B085B"/>
    <w:rsid w:val="003B0FCF"/>
    <w:rsid w:val="003B183F"/>
    <w:rsid w:val="003B2EE0"/>
    <w:rsid w:val="003B2F18"/>
    <w:rsid w:val="003B5493"/>
    <w:rsid w:val="003B6227"/>
    <w:rsid w:val="003B769D"/>
    <w:rsid w:val="003B7E22"/>
    <w:rsid w:val="003C33D1"/>
    <w:rsid w:val="003C3943"/>
    <w:rsid w:val="003C4041"/>
    <w:rsid w:val="003C49A4"/>
    <w:rsid w:val="003C5596"/>
    <w:rsid w:val="003C5899"/>
    <w:rsid w:val="003C58F0"/>
    <w:rsid w:val="003C63D5"/>
    <w:rsid w:val="003C6662"/>
    <w:rsid w:val="003C6769"/>
    <w:rsid w:val="003C7544"/>
    <w:rsid w:val="003C7969"/>
    <w:rsid w:val="003C7A7B"/>
    <w:rsid w:val="003D0BF3"/>
    <w:rsid w:val="003D1FAD"/>
    <w:rsid w:val="003D2B2C"/>
    <w:rsid w:val="003D30FB"/>
    <w:rsid w:val="003D4A83"/>
    <w:rsid w:val="003D5D15"/>
    <w:rsid w:val="003D5E0B"/>
    <w:rsid w:val="003E0EA3"/>
    <w:rsid w:val="003E1280"/>
    <w:rsid w:val="003E144D"/>
    <w:rsid w:val="003E2B82"/>
    <w:rsid w:val="003E50DF"/>
    <w:rsid w:val="003E5352"/>
    <w:rsid w:val="003E672A"/>
    <w:rsid w:val="003E69CC"/>
    <w:rsid w:val="003F07A9"/>
    <w:rsid w:val="003F0CB2"/>
    <w:rsid w:val="003F0F1B"/>
    <w:rsid w:val="003F0FEA"/>
    <w:rsid w:val="003F170F"/>
    <w:rsid w:val="003F21F8"/>
    <w:rsid w:val="003F2230"/>
    <w:rsid w:val="003F2319"/>
    <w:rsid w:val="003F2C42"/>
    <w:rsid w:val="003F3AD3"/>
    <w:rsid w:val="003F3FAF"/>
    <w:rsid w:val="003F452C"/>
    <w:rsid w:val="003F6AAC"/>
    <w:rsid w:val="003F7F34"/>
    <w:rsid w:val="004002FB"/>
    <w:rsid w:val="004005A5"/>
    <w:rsid w:val="00400725"/>
    <w:rsid w:val="00400995"/>
    <w:rsid w:val="004026EE"/>
    <w:rsid w:val="00402852"/>
    <w:rsid w:val="0040460F"/>
    <w:rsid w:val="004047C4"/>
    <w:rsid w:val="004048DA"/>
    <w:rsid w:val="004052F2"/>
    <w:rsid w:val="00407062"/>
    <w:rsid w:val="004075C8"/>
    <w:rsid w:val="004077F5"/>
    <w:rsid w:val="00410257"/>
    <w:rsid w:val="0041101A"/>
    <w:rsid w:val="00412BC0"/>
    <w:rsid w:val="0041392F"/>
    <w:rsid w:val="00414BB8"/>
    <w:rsid w:val="00421FD7"/>
    <w:rsid w:val="00422299"/>
    <w:rsid w:val="00422E1E"/>
    <w:rsid w:val="00423D02"/>
    <w:rsid w:val="00424A98"/>
    <w:rsid w:val="00424BAD"/>
    <w:rsid w:val="0042523A"/>
    <w:rsid w:val="00426647"/>
    <w:rsid w:val="0042736A"/>
    <w:rsid w:val="00432346"/>
    <w:rsid w:val="00432979"/>
    <w:rsid w:val="00432A63"/>
    <w:rsid w:val="00434FEA"/>
    <w:rsid w:val="00435822"/>
    <w:rsid w:val="00436D9C"/>
    <w:rsid w:val="004403F5"/>
    <w:rsid w:val="0044040C"/>
    <w:rsid w:val="00440E61"/>
    <w:rsid w:val="0044115B"/>
    <w:rsid w:val="0044280C"/>
    <w:rsid w:val="00442EE7"/>
    <w:rsid w:val="0044440B"/>
    <w:rsid w:val="00446082"/>
    <w:rsid w:val="00446580"/>
    <w:rsid w:val="004468B6"/>
    <w:rsid w:val="00447347"/>
    <w:rsid w:val="00447D0E"/>
    <w:rsid w:val="0045011C"/>
    <w:rsid w:val="00452FFF"/>
    <w:rsid w:val="00453398"/>
    <w:rsid w:val="00457EA8"/>
    <w:rsid w:val="00460768"/>
    <w:rsid w:val="00460C2B"/>
    <w:rsid w:val="00462FD9"/>
    <w:rsid w:val="0046421F"/>
    <w:rsid w:val="0046468F"/>
    <w:rsid w:val="00465D26"/>
    <w:rsid w:val="00470608"/>
    <w:rsid w:val="0047179B"/>
    <w:rsid w:val="00471CB5"/>
    <w:rsid w:val="0047475A"/>
    <w:rsid w:val="00477075"/>
    <w:rsid w:val="0047793C"/>
    <w:rsid w:val="004779A5"/>
    <w:rsid w:val="004829B4"/>
    <w:rsid w:val="00482C87"/>
    <w:rsid w:val="00484243"/>
    <w:rsid w:val="00485399"/>
    <w:rsid w:val="00485B1C"/>
    <w:rsid w:val="00485CB9"/>
    <w:rsid w:val="00486163"/>
    <w:rsid w:val="00486DA4"/>
    <w:rsid w:val="004900EF"/>
    <w:rsid w:val="00490961"/>
    <w:rsid w:val="00490E4B"/>
    <w:rsid w:val="004923B0"/>
    <w:rsid w:val="00493D17"/>
    <w:rsid w:val="004941DE"/>
    <w:rsid w:val="004944C2"/>
    <w:rsid w:val="00494AC4"/>
    <w:rsid w:val="00495718"/>
    <w:rsid w:val="004961D8"/>
    <w:rsid w:val="00496A6C"/>
    <w:rsid w:val="0049759A"/>
    <w:rsid w:val="004A077E"/>
    <w:rsid w:val="004A1D91"/>
    <w:rsid w:val="004A29BD"/>
    <w:rsid w:val="004A2CD5"/>
    <w:rsid w:val="004A2CDF"/>
    <w:rsid w:val="004A2D3A"/>
    <w:rsid w:val="004A2DE5"/>
    <w:rsid w:val="004A3217"/>
    <w:rsid w:val="004A3577"/>
    <w:rsid w:val="004A36A0"/>
    <w:rsid w:val="004A3826"/>
    <w:rsid w:val="004A403B"/>
    <w:rsid w:val="004A46AA"/>
    <w:rsid w:val="004A652C"/>
    <w:rsid w:val="004A66A6"/>
    <w:rsid w:val="004B006E"/>
    <w:rsid w:val="004B0E20"/>
    <w:rsid w:val="004B0E5A"/>
    <w:rsid w:val="004B1259"/>
    <w:rsid w:val="004B17DB"/>
    <w:rsid w:val="004B1867"/>
    <w:rsid w:val="004B28CA"/>
    <w:rsid w:val="004B2FA1"/>
    <w:rsid w:val="004B3210"/>
    <w:rsid w:val="004B337A"/>
    <w:rsid w:val="004B378F"/>
    <w:rsid w:val="004B3D85"/>
    <w:rsid w:val="004B5655"/>
    <w:rsid w:val="004B5771"/>
    <w:rsid w:val="004B5B6F"/>
    <w:rsid w:val="004C0664"/>
    <w:rsid w:val="004C0E0B"/>
    <w:rsid w:val="004C0F92"/>
    <w:rsid w:val="004C2D74"/>
    <w:rsid w:val="004C3283"/>
    <w:rsid w:val="004C3645"/>
    <w:rsid w:val="004C40DA"/>
    <w:rsid w:val="004C42A9"/>
    <w:rsid w:val="004C4C56"/>
    <w:rsid w:val="004C51BF"/>
    <w:rsid w:val="004C5347"/>
    <w:rsid w:val="004C591E"/>
    <w:rsid w:val="004C798C"/>
    <w:rsid w:val="004D0FCF"/>
    <w:rsid w:val="004D39C0"/>
    <w:rsid w:val="004D66A1"/>
    <w:rsid w:val="004D6A47"/>
    <w:rsid w:val="004D7276"/>
    <w:rsid w:val="004E0920"/>
    <w:rsid w:val="004E1B44"/>
    <w:rsid w:val="004E1D37"/>
    <w:rsid w:val="004E3694"/>
    <w:rsid w:val="004E4B07"/>
    <w:rsid w:val="004E4C7C"/>
    <w:rsid w:val="004E4D48"/>
    <w:rsid w:val="004E4FB9"/>
    <w:rsid w:val="004E5C31"/>
    <w:rsid w:val="004F16DC"/>
    <w:rsid w:val="004F1E60"/>
    <w:rsid w:val="004F3011"/>
    <w:rsid w:val="004F32D1"/>
    <w:rsid w:val="004F4109"/>
    <w:rsid w:val="004F4302"/>
    <w:rsid w:val="004F4720"/>
    <w:rsid w:val="004F4F24"/>
    <w:rsid w:val="004F604F"/>
    <w:rsid w:val="004F6278"/>
    <w:rsid w:val="004F731F"/>
    <w:rsid w:val="00500EF8"/>
    <w:rsid w:val="0050323D"/>
    <w:rsid w:val="005036E4"/>
    <w:rsid w:val="00503DDF"/>
    <w:rsid w:val="00503EDC"/>
    <w:rsid w:val="00504F33"/>
    <w:rsid w:val="005052CA"/>
    <w:rsid w:val="0050638E"/>
    <w:rsid w:val="00506BFC"/>
    <w:rsid w:val="005073A1"/>
    <w:rsid w:val="00507CF3"/>
    <w:rsid w:val="00510569"/>
    <w:rsid w:val="00510888"/>
    <w:rsid w:val="0051325C"/>
    <w:rsid w:val="00513301"/>
    <w:rsid w:val="00513644"/>
    <w:rsid w:val="0051400F"/>
    <w:rsid w:val="005149B5"/>
    <w:rsid w:val="005163BF"/>
    <w:rsid w:val="005176DB"/>
    <w:rsid w:val="00517BE5"/>
    <w:rsid w:val="00521CBB"/>
    <w:rsid w:val="00521DAC"/>
    <w:rsid w:val="00525208"/>
    <w:rsid w:val="00525D4E"/>
    <w:rsid w:val="00527B2D"/>
    <w:rsid w:val="00530844"/>
    <w:rsid w:val="00530D43"/>
    <w:rsid w:val="005312A5"/>
    <w:rsid w:val="00532548"/>
    <w:rsid w:val="00533484"/>
    <w:rsid w:val="0053350A"/>
    <w:rsid w:val="00534B13"/>
    <w:rsid w:val="00536193"/>
    <w:rsid w:val="00536237"/>
    <w:rsid w:val="00536AED"/>
    <w:rsid w:val="00536C4E"/>
    <w:rsid w:val="00536FEA"/>
    <w:rsid w:val="00537641"/>
    <w:rsid w:val="00540C67"/>
    <w:rsid w:val="00542DB1"/>
    <w:rsid w:val="00543075"/>
    <w:rsid w:val="005435FB"/>
    <w:rsid w:val="005439D0"/>
    <w:rsid w:val="005442F3"/>
    <w:rsid w:val="005462DA"/>
    <w:rsid w:val="0054637C"/>
    <w:rsid w:val="00546973"/>
    <w:rsid w:val="00547195"/>
    <w:rsid w:val="00547FD8"/>
    <w:rsid w:val="005510D9"/>
    <w:rsid w:val="00554BC9"/>
    <w:rsid w:val="005566F6"/>
    <w:rsid w:val="00556AF0"/>
    <w:rsid w:val="00556D98"/>
    <w:rsid w:val="005573E4"/>
    <w:rsid w:val="00557FA7"/>
    <w:rsid w:val="005606F3"/>
    <w:rsid w:val="00560A5D"/>
    <w:rsid w:val="00561F62"/>
    <w:rsid w:val="005627B2"/>
    <w:rsid w:val="00562A3E"/>
    <w:rsid w:val="005635D9"/>
    <w:rsid w:val="00563A0E"/>
    <w:rsid w:val="00563B58"/>
    <w:rsid w:val="00563E80"/>
    <w:rsid w:val="00564363"/>
    <w:rsid w:val="00564E2D"/>
    <w:rsid w:val="00564FC1"/>
    <w:rsid w:val="005674F1"/>
    <w:rsid w:val="0057092E"/>
    <w:rsid w:val="005714B4"/>
    <w:rsid w:val="00571589"/>
    <w:rsid w:val="00572102"/>
    <w:rsid w:val="005729CC"/>
    <w:rsid w:val="00572D6E"/>
    <w:rsid w:val="00572E98"/>
    <w:rsid w:val="005744DF"/>
    <w:rsid w:val="0057569C"/>
    <w:rsid w:val="005765C4"/>
    <w:rsid w:val="005767CD"/>
    <w:rsid w:val="00576F3F"/>
    <w:rsid w:val="00577719"/>
    <w:rsid w:val="00580366"/>
    <w:rsid w:val="00580E00"/>
    <w:rsid w:val="00581475"/>
    <w:rsid w:val="005816DF"/>
    <w:rsid w:val="00582014"/>
    <w:rsid w:val="00582633"/>
    <w:rsid w:val="00583325"/>
    <w:rsid w:val="00583870"/>
    <w:rsid w:val="00586428"/>
    <w:rsid w:val="00587043"/>
    <w:rsid w:val="00590838"/>
    <w:rsid w:val="005926E2"/>
    <w:rsid w:val="00592A26"/>
    <w:rsid w:val="00593398"/>
    <w:rsid w:val="00593467"/>
    <w:rsid w:val="00595E79"/>
    <w:rsid w:val="0059762C"/>
    <w:rsid w:val="0059766C"/>
    <w:rsid w:val="00597D8A"/>
    <w:rsid w:val="005A1575"/>
    <w:rsid w:val="005A17AE"/>
    <w:rsid w:val="005A3A81"/>
    <w:rsid w:val="005A70A8"/>
    <w:rsid w:val="005A7449"/>
    <w:rsid w:val="005A7F34"/>
    <w:rsid w:val="005B101E"/>
    <w:rsid w:val="005B11C2"/>
    <w:rsid w:val="005B2AE7"/>
    <w:rsid w:val="005B326E"/>
    <w:rsid w:val="005B35C2"/>
    <w:rsid w:val="005B4BFA"/>
    <w:rsid w:val="005C0091"/>
    <w:rsid w:val="005C1AA5"/>
    <w:rsid w:val="005C436F"/>
    <w:rsid w:val="005C47B3"/>
    <w:rsid w:val="005C480F"/>
    <w:rsid w:val="005C592E"/>
    <w:rsid w:val="005C5F63"/>
    <w:rsid w:val="005C612B"/>
    <w:rsid w:val="005C6173"/>
    <w:rsid w:val="005C623E"/>
    <w:rsid w:val="005C75B6"/>
    <w:rsid w:val="005C7F1C"/>
    <w:rsid w:val="005D2BCB"/>
    <w:rsid w:val="005D3B09"/>
    <w:rsid w:val="005D41BE"/>
    <w:rsid w:val="005D5A7D"/>
    <w:rsid w:val="005D6EB1"/>
    <w:rsid w:val="005E1ADA"/>
    <w:rsid w:val="005E1B06"/>
    <w:rsid w:val="005E2969"/>
    <w:rsid w:val="005E3575"/>
    <w:rsid w:val="005E4208"/>
    <w:rsid w:val="005E5004"/>
    <w:rsid w:val="005E60CC"/>
    <w:rsid w:val="005E6999"/>
    <w:rsid w:val="005F0178"/>
    <w:rsid w:val="005F01B8"/>
    <w:rsid w:val="005F01DA"/>
    <w:rsid w:val="005F0851"/>
    <w:rsid w:val="005F08D0"/>
    <w:rsid w:val="005F111F"/>
    <w:rsid w:val="005F1D06"/>
    <w:rsid w:val="005F2459"/>
    <w:rsid w:val="005F2C7C"/>
    <w:rsid w:val="005F3A73"/>
    <w:rsid w:val="005F72BD"/>
    <w:rsid w:val="00601564"/>
    <w:rsid w:val="006019B1"/>
    <w:rsid w:val="006043E1"/>
    <w:rsid w:val="00606E56"/>
    <w:rsid w:val="00611D2C"/>
    <w:rsid w:val="00613A46"/>
    <w:rsid w:val="00613B1B"/>
    <w:rsid w:val="00614146"/>
    <w:rsid w:val="00614726"/>
    <w:rsid w:val="00614BE7"/>
    <w:rsid w:val="00615D16"/>
    <w:rsid w:val="006178D2"/>
    <w:rsid w:val="00617FB3"/>
    <w:rsid w:val="00620583"/>
    <w:rsid w:val="00620B0F"/>
    <w:rsid w:val="00620FE7"/>
    <w:rsid w:val="00621545"/>
    <w:rsid w:val="00622CC9"/>
    <w:rsid w:val="00622E1E"/>
    <w:rsid w:val="0062304D"/>
    <w:rsid w:val="00624653"/>
    <w:rsid w:val="006259B6"/>
    <w:rsid w:val="006267FD"/>
    <w:rsid w:val="00626891"/>
    <w:rsid w:val="00626E28"/>
    <w:rsid w:val="006302D6"/>
    <w:rsid w:val="006317F1"/>
    <w:rsid w:val="006334D7"/>
    <w:rsid w:val="006336FB"/>
    <w:rsid w:val="00635F6E"/>
    <w:rsid w:val="00636453"/>
    <w:rsid w:val="0063725B"/>
    <w:rsid w:val="00637C44"/>
    <w:rsid w:val="00637CCE"/>
    <w:rsid w:val="00640219"/>
    <w:rsid w:val="00640E5D"/>
    <w:rsid w:val="0064135B"/>
    <w:rsid w:val="006421F8"/>
    <w:rsid w:val="006432C1"/>
    <w:rsid w:val="00643606"/>
    <w:rsid w:val="006437C1"/>
    <w:rsid w:val="0064661E"/>
    <w:rsid w:val="00647199"/>
    <w:rsid w:val="00647282"/>
    <w:rsid w:val="00647397"/>
    <w:rsid w:val="00647741"/>
    <w:rsid w:val="006513B1"/>
    <w:rsid w:val="0065171B"/>
    <w:rsid w:val="00651903"/>
    <w:rsid w:val="006534E2"/>
    <w:rsid w:val="00653543"/>
    <w:rsid w:val="00653814"/>
    <w:rsid w:val="00653F15"/>
    <w:rsid w:val="00656060"/>
    <w:rsid w:val="00656DAA"/>
    <w:rsid w:val="006576E1"/>
    <w:rsid w:val="00657C49"/>
    <w:rsid w:val="00660F8C"/>
    <w:rsid w:val="0066317D"/>
    <w:rsid w:val="00665E16"/>
    <w:rsid w:val="0066608D"/>
    <w:rsid w:val="006700D8"/>
    <w:rsid w:val="00670379"/>
    <w:rsid w:val="00670490"/>
    <w:rsid w:val="00671FF8"/>
    <w:rsid w:val="006723A2"/>
    <w:rsid w:val="0067247C"/>
    <w:rsid w:val="00672B4F"/>
    <w:rsid w:val="00674924"/>
    <w:rsid w:val="006756A9"/>
    <w:rsid w:val="0067626E"/>
    <w:rsid w:val="00676468"/>
    <w:rsid w:val="00676A4B"/>
    <w:rsid w:val="00676B66"/>
    <w:rsid w:val="006779A5"/>
    <w:rsid w:val="006807AF"/>
    <w:rsid w:val="00683CB0"/>
    <w:rsid w:val="00684747"/>
    <w:rsid w:val="0069006E"/>
    <w:rsid w:val="00690554"/>
    <w:rsid w:val="006915BE"/>
    <w:rsid w:val="006935DF"/>
    <w:rsid w:val="00695B10"/>
    <w:rsid w:val="006A028F"/>
    <w:rsid w:val="006A066A"/>
    <w:rsid w:val="006A13C9"/>
    <w:rsid w:val="006A48F9"/>
    <w:rsid w:val="006A5032"/>
    <w:rsid w:val="006A5F66"/>
    <w:rsid w:val="006A67A8"/>
    <w:rsid w:val="006A6F95"/>
    <w:rsid w:val="006A7CEC"/>
    <w:rsid w:val="006B194E"/>
    <w:rsid w:val="006B1C3F"/>
    <w:rsid w:val="006B3528"/>
    <w:rsid w:val="006B43E4"/>
    <w:rsid w:val="006B6DFB"/>
    <w:rsid w:val="006C33C0"/>
    <w:rsid w:val="006C4F6C"/>
    <w:rsid w:val="006C4F7A"/>
    <w:rsid w:val="006C5E18"/>
    <w:rsid w:val="006C6097"/>
    <w:rsid w:val="006C62F7"/>
    <w:rsid w:val="006C67C7"/>
    <w:rsid w:val="006C6B42"/>
    <w:rsid w:val="006C7841"/>
    <w:rsid w:val="006D068D"/>
    <w:rsid w:val="006D1036"/>
    <w:rsid w:val="006D22F8"/>
    <w:rsid w:val="006D3C82"/>
    <w:rsid w:val="006D4978"/>
    <w:rsid w:val="006D4DB4"/>
    <w:rsid w:val="006D4E03"/>
    <w:rsid w:val="006E10AA"/>
    <w:rsid w:val="006E1EAC"/>
    <w:rsid w:val="006E245D"/>
    <w:rsid w:val="006E2686"/>
    <w:rsid w:val="006E2EAA"/>
    <w:rsid w:val="006E382E"/>
    <w:rsid w:val="006E3A62"/>
    <w:rsid w:val="006E3A76"/>
    <w:rsid w:val="006E5401"/>
    <w:rsid w:val="006E59B8"/>
    <w:rsid w:val="006E5ECF"/>
    <w:rsid w:val="006E60BB"/>
    <w:rsid w:val="006E6A3C"/>
    <w:rsid w:val="006F012F"/>
    <w:rsid w:val="006F0339"/>
    <w:rsid w:val="006F0B5A"/>
    <w:rsid w:val="006F1ECB"/>
    <w:rsid w:val="006F20BC"/>
    <w:rsid w:val="006F2404"/>
    <w:rsid w:val="006F4014"/>
    <w:rsid w:val="006F40CB"/>
    <w:rsid w:val="006F571D"/>
    <w:rsid w:val="006F7DC1"/>
    <w:rsid w:val="0070137A"/>
    <w:rsid w:val="00701848"/>
    <w:rsid w:val="00703585"/>
    <w:rsid w:val="007036CA"/>
    <w:rsid w:val="007037DB"/>
    <w:rsid w:val="00703E56"/>
    <w:rsid w:val="00704AE6"/>
    <w:rsid w:val="00705275"/>
    <w:rsid w:val="007063E8"/>
    <w:rsid w:val="00710185"/>
    <w:rsid w:val="0071280B"/>
    <w:rsid w:val="00712F53"/>
    <w:rsid w:val="00714D86"/>
    <w:rsid w:val="0071539D"/>
    <w:rsid w:val="00716A19"/>
    <w:rsid w:val="00717693"/>
    <w:rsid w:val="00717B1F"/>
    <w:rsid w:val="00720FE9"/>
    <w:rsid w:val="00721B86"/>
    <w:rsid w:val="00721E42"/>
    <w:rsid w:val="00722530"/>
    <w:rsid w:val="00722DC5"/>
    <w:rsid w:val="00724CB5"/>
    <w:rsid w:val="00724EC3"/>
    <w:rsid w:val="00726C66"/>
    <w:rsid w:val="00727E8E"/>
    <w:rsid w:val="007335AC"/>
    <w:rsid w:val="007337DE"/>
    <w:rsid w:val="0073417B"/>
    <w:rsid w:val="00735B7D"/>
    <w:rsid w:val="0073648D"/>
    <w:rsid w:val="007370D1"/>
    <w:rsid w:val="00737AB8"/>
    <w:rsid w:val="00740640"/>
    <w:rsid w:val="00740BA9"/>
    <w:rsid w:val="00740BB6"/>
    <w:rsid w:val="00740EA9"/>
    <w:rsid w:val="00741D48"/>
    <w:rsid w:val="0074335F"/>
    <w:rsid w:val="00743403"/>
    <w:rsid w:val="0074455B"/>
    <w:rsid w:val="007464EF"/>
    <w:rsid w:val="0074672F"/>
    <w:rsid w:val="007470A6"/>
    <w:rsid w:val="00747F26"/>
    <w:rsid w:val="00750B6E"/>
    <w:rsid w:val="00752027"/>
    <w:rsid w:val="0075313B"/>
    <w:rsid w:val="007547DE"/>
    <w:rsid w:val="00755614"/>
    <w:rsid w:val="00755BF8"/>
    <w:rsid w:val="00755D16"/>
    <w:rsid w:val="0075693E"/>
    <w:rsid w:val="00756954"/>
    <w:rsid w:val="00756D07"/>
    <w:rsid w:val="00757AB3"/>
    <w:rsid w:val="00761341"/>
    <w:rsid w:val="0076174D"/>
    <w:rsid w:val="007628D9"/>
    <w:rsid w:val="00762A92"/>
    <w:rsid w:val="007638E8"/>
    <w:rsid w:val="007644AC"/>
    <w:rsid w:val="0076509C"/>
    <w:rsid w:val="00765BEC"/>
    <w:rsid w:val="00766351"/>
    <w:rsid w:val="007665CB"/>
    <w:rsid w:val="00767524"/>
    <w:rsid w:val="00771652"/>
    <w:rsid w:val="00772C87"/>
    <w:rsid w:val="00773C8E"/>
    <w:rsid w:val="00776D14"/>
    <w:rsid w:val="007800DE"/>
    <w:rsid w:val="00780506"/>
    <w:rsid w:val="007806B9"/>
    <w:rsid w:val="00780B5D"/>
    <w:rsid w:val="00781199"/>
    <w:rsid w:val="0078196A"/>
    <w:rsid w:val="00781A91"/>
    <w:rsid w:val="00781C0F"/>
    <w:rsid w:val="00781DD5"/>
    <w:rsid w:val="00782CB9"/>
    <w:rsid w:val="007839C1"/>
    <w:rsid w:val="00784567"/>
    <w:rsid w:val="0078481D"/>
    <w:rsid w:val="00785CCD"/>
    <w:rsid w:val="00785CE4"/>
    <w:rsid w:val="0079075A"/>
    <w:rsid w:val="007928D9"/>
    <w:rsid w:val="0079305F"/>
    <w:rsid w:val="007931FB"/>
    <w:rsid w:val="00794DC8"/>
    <w:rsid w:val="00795983"/>
    <w:rsid w:val="00795B26"/>
    <w:rsid w:val="00795E13"/>
    <w:rsid w:val="00796AA9"/>
    <w:rsid w:val="00797134"/>
    <w:rsid w:val="00797C94"/>
    <w:rsid w:val="007A0A10"/>
    <w:rsid w:val="007A145C"/>
    <w:rsid w:val="007A15B6"/>
    <w:rsid w:val="007A1B6F"/>
    <w:rsid w:val="007A246E"/>
    <w:rsid w:val="007A4370"/>
    <w:rsid w:val="007A47FA"/>
    <w:rsid w:val="007A6976"/>
    <w:rsid w:val="007A6A4A"/>
    <w:rsid w:val="007A74CB"/>
    <w:rsid w:val="007A766C"/>
    <w:rsid w:val="007A76AA"/>
    <w:rsid w:val="007A7E76"/>
    <w:rsid w:val="007B0377"/>
    <w:rsid w:val="007B046F"/>
    <w:rsid w:val="007B237A"/>
    <w:rsid w:val="007B28DB"/>
    <w:rsid w:val="007B296B"/>
    <w:rsid w:val="007B372C"/>
    <w:rsid w:val="007B4273"/>
    <w:rsid w:val="007B4393"/>
    <w:rsid w:val="007B4D53"/>
    <w:rsid w:val="007B59C3"/>
    <w:rsid w:val="007B5E9B"/>
    <w:rsid w:val="007B678A"/>
    <w:rsid w:val="007B6D1B"/>
    <w:rsid w:val="007B7FFE"/>
    <w:rsid w:val="007C06E8"/>
    <w:rsid w:val="007C0A60"/>
    <w:rsid w:val="007C114B"/>
    <w:rsid w:val="007C2622"/>
    <w:rsid w:val="007C2BDD"/>
    <w:rsid w:val="007C2F08"/>
    <w:rsid w:val="007C45CB"/>
    <w:rsid w:val="007C4DB3"/>
    <w:rsid w:val="007C52FB"/>
    <w:rsid w:val="007C54C5"/>
    <w:rsid w:val="007C5A1D"/>
    <w:rsid w:val="007C6754"/>
    <w:rsid w:val="007C708D"/>
    <w:rsid w:val="007D2ABE"/>
    <w:rsid w:val="007D33F1"/>
    <w:rsid w:val="007D56FF"/>
    <w:rsid w:val="007D5DEA"/>
    <w:rsid w:val="007D713E"/>
    <w:rsid w:val="007D76DF"/>
    <w:rsid w:val="007E0EFE"/>
    <w:rsid w:val="007E2CC2"/>
    <w:rsid w:val="007E33CD"/>
    <w:rsid w:val="007E3AF8"/>
    <w:rsid w:val="007E496C"/>
    <w:rsid w:val="007E4CD9"/>
    <w:rsid w:val="007E4E7E"/>
    <w:rsid w:val="007E60CB"/>
    <w:rsid w:val="007E63B4"/>
    <w:rsid w:val="007E7815"/>
    <w:rsid w:val="007F015A"/>
    <w:rsid w:val="007F03A4"/>
    <w:rsid w:val="007F09E6"/>
    <w:rsid w:val="007F0AE8"/>
    <w:rsid w:val="007F13E7"/>
    <w:rsid w:val="007F16F5"/>
    <w:rsid w:val="007F1A25"/>
    <w:rsid w:val="007F1CA3"/>
    <w:rsid w:val="007F2055"/>
    <w:rsid w:val="007F30CB"/>
    <w:rsid w:val="007F4102"/>
    <w:rsid w:val="007F4583"/>
    <w:rsid w:val="007F4868"/>
    <w:rsid w:val="007F4AE7"/>
    <w:rsid w:val="007F56BF"/>
    <w:rsid w:val="007F5A89"/>
    <w:rsid w:val="007F6691"/>
    <w:rsid w:val="007F6EEB"/>
    <w:rsid w:val="007F7060"/>
    <w:rsid w:val="0080027E"/>
    <w:rsid w:val="00800BC0"/>
    <w:rsid w:val="0080144A"/>
    <w:rsid w:val="00801E3A"/>
    <w:rsid w:val="00803F5D"/>
    <w:rsid w:val="00806C5A"/>
    <w:rsid w:val="00806FDA"/>
    <w:rsid w:val="008101FF"/>
    <w:rsid w:val="008102BB"/>
    <w:rsid w:val="00810B10"/>
    <w:rsid w:val="008111FF"/>
    <w:rsid w:val="0081150A"/>
    <w:rsid w:val="00811C39"/>
    <w:rsid w:val="00812B7D"/>
    <w:rsid w:val="00813107"/>
    <w:rsid w:val="00813CF3"/>
    <w:rsid w:val="00814004"/>
    <w:rsid w:val="00814D7A"/>
    <w:rsid w:val="008167D1"/>
    <w:rsid w:val="008171EE"/>
    <w:rsid w:val="00817897"/>
    <w:rsid w:val="0082009F"/>
    <w:rsid w:val="008210BD"/>
    <w:rsid w:val="00821597"/>
    <w:rsid w:val="008222A8"/>
    <w:rsid w:val="008258FD"/>
    <w:rsid w:val="00825D5A"/>
    <w:rsid w:val="00826064"/>
    <w:rsid w:val="008266EF"/>
    <w:rsid w:val="00827957"/>
    <w:rsid w:val="00830196"/>
    <w:rsid w:val="008307E2"/>
    <w:rsid w:val="00830BAB"/>
    <w:rsid w:val="008317E4"/>
    <w:rsid w:val="00832D70"/>
    <w:rsid w:val="008330C6"/>
    <w:rsid w:val="008344B3"/>
    <w:rsid w:val="00840225"/>
    <w:rsid w:val="00840E90"/>
    <w:rsid w:val="008429A7"/>
    <w:rsid w:val="00842BB2"/>
    <w:rsid w:val="00842F10"/>
    <w:rsid w:val="0084331B"/>
    <w:rsid w:val="00843BC8"/>
    <w:rsid w:val="0084449C"/>
    <w:rsid w:val="00845EF4"/>
    <w:rsid w:val="00846468"/>
    <w:rsid w:val="0084776F"/>
    <w:rsid w:val="00850E15"/>
    <w:rsid w:val="00851715"/>
    <w:rsid w:val="0085280E"/>
    <w:rsid w:val="008549BA"/>
    <w:rsid w:val="00857CB9"/>
    <w:rsid w:val="00860F34"/>
    <w:rsid w:val="0086237A"/>
    <w:rsid w:val="00862AB5"/>
    <w:rsid w:val="0086431B"/>
    <w:rsid w:val="008656B2"/>
    <w:rsid w:val="00865759"/>
    <w:rsid w:val="00865974"/>
    <w:rsid w:val="008661BD"/>
    <w:rsid w:val="00866ED9"/>
    <w:rsid w:val="0087113A"/>
    <w:rsid w:val="0087225E"/>
    <w:rsid w:val="0087239A"/>
    <w:rsid w:val="0087254A"/>
    <w:rsid w:val="00872DB3"/>
    <w:rsid w:val="0087328E"/>
    <w:rsid w:val="00875909"/>
    <w:rsid w:val="00875D54"/>
    <w:rsid w:val="008776B8"/>
    <w:rsid w:val="00880B8B"/>
    <w:rsid w:val="00880D3C"/>
    <w:rsid w:val="00881FAE"/>
    <w:rsid w:val="00882D0B"/>
    <w:rsid w:val="008832E6"/>
    <w:rsid w:val="00883A82"/>
    <w:rsid w:val="00884034"/>
    <w:rsid w:val="008843F7"/>
    <w:rsid w:val="00884C33"/>
    <w:rsid w:val="00885A51"/>
    <w:rsid w:val="00885EB4"/>
    <w:rsid w:val="008905AD"/>
    <w:rsid w:val="00890EBE"/>
    <w:rsid w:val="00892674"/>
    <w:rsid w:val="0089394C"/>
    <w:rsid w:val="00893ADD"/>
    <w:rsid w:val="00894C27"/>
    <w:rsid w:val="00896459"/>
    <w:rsid w:val="008973E4"/>
    <w:rsid w:val="00897734"/>
    <w:rsid w:val="008A297A"/>
    <w:rsid w:val="008A2CF6"/>
    <w:rsid w:val="008A4B47"/>
    <w:rsid w:val="008A547A"/>
    <w:rsid w:val="008A5EAD"/>
    <w:rsid w:val="008A6297"/>
    <w:rsid w:val="008A68EB"/>
    <w:rsid w:val="008A6C1A"/>
    <w:rsid w:val="008A7F10"/>
    <w:rsid w:val="008B1001"/>
    <w:rsid w:val="008B1F26"/>
    <w:rsid w:val="008B2527"/>
    <w:rsid w:val="008B396B"/>
    <w:rsid w:val="008B43F5"/>
    <w:rsid w:val="008B5282"/>
    <w:rsid w:val="008B72D7"/>
    <w:rsid w:val="008C1271"/>
    <w:rsid w:val="008C1584"/>
    <w:rsid w:val="008C3A61"/>
    <w:rsid w:val="008C3FC3"/>
    <w:rsid w:val="008C421B"/>
    <w:rsid w:val="008C493D"/>
    <w:rsid w:val="008C4B3F"/>
    <w:rsid w:val="008C633F"/>
    <w:rsid w:val="008C697E"/>
    <w:rsid w:val="008C6FFF"/>
    <w:rsid w:val="008C72AD"/>
    <w:rsid w:val="008D14CE"/>
    <w:rsid w:val="008D17E7"/>
    <w:rsid w:val="008D201B"/>
    <w:rsid w:val="008D2451"/>
    <w:rsid w:val="008D2F7F"/>
    <w:rsid w:val="008D4889"/>
    <w:rsid w:val="008D514B"/>
    <w:rsid w:val="008D5230"/>
    <w:rsid w:val="008D69F4"/>
    <w:rsid w:val="008D7881"/>
    <w:rsid w:val="008E0E5E"/>
    <w:rsid w:val="008E20DD"/>
    <w:rsid w:val="008E2890"/>
    <w:rsid w:val="008E3262"/>
    <w:rsid w:val="008E4899"/>
    <w:rsid w:val="008E5199"/>
    <w:rsid w:val="008E59A7"/>
    <w:rsid w:val="008E744B"/>
    <w:rsid w:val="008E75BD"/>
    <w:rsid w:val="008F02D8"/>
    <w:rsid w:val="008F0634"/>
    <w:rsid w:val="008F0741"/>
    <w:rsid w:val="008F0BEC"/>
    <w:rsid w:val="008F1818"/>
    <w:rsid w:val="008F1A8A"/>
    <w:rsid w:val="008F1DCC"/>
    <w:rsid w:val="008F2010"/>
    <w:rsid w:val="008F2122"/>
    <w:rsid w:val="008F35B0"/>
    <w:rsid w:val="008F3FF2"/>
    <w:rsid w:val="00900649"/>
    <w:rsid w:val="00902171"/>
    <w:rsid w:val="00903B76"/>
    <w:rsid w:val="00904419"/>
    <w:rsid w:val="00904936"/>
    <w:rsid w:val="00907716"/>
    <w:rsid w:val="00912F4F"/>
    <w:rsid w:val="0091406D"/>
    <w:rsid w:val="009140F2"/>
    <w:rsid w:val="009146B3"/>
    <w:rsid w:val="00915563"/>
    <w:rsid w:val="0091565A"/>
    <w:rsid w:val="00916BBB"/>
    <w:rsid w:val="00921C11"/>
    <w:rsid w:val="0092266F"/>
    <w:rsid w:val="0092401A"/>
    <w:rsid w:val="00924196"/>
    <w:rsid w:val="00925C49"/>
    <w:rsid w:val="009261BC"/>
    <w:rsid w:val="00926FA1"/>
    <w:rsid w:val="00927583"/>
    <w:rsid w:val="00927743"/>
    <w:rsid w:val="0093095A"/>
    <w:rsid w:val="00930E4D"/>
    <w:rsid w:val="00932AA5"/>
    <w:rsid w:val="009333B2"/>
    <w:rsid w:val="00933936"/>
    <w:rsid w:val="00933BCE"/>
    <w:rsid w:val="00933DA1"/>
    <w:rsid w:val="00934148"/>
    <w:rsid w:val="00935059"/>
    <w:rsid w:val="00935AF7"/>
    <w:rsid w:val="00936724"/>
    <w:rsid w:val="00936B3A"/>
    <w:rsid w:val="00936C2F"/>
    <w:rsid w:val="00937A56"/>
    <w:rsid w:val="0094059C"/>
    <w:rsid w:val="00942CC7"/>
    <w:rsid w:val="0094325D"/>
    <w:rsid w:val="00945CBD"/>
    <w:rsid w:val="00946002"/>
    <w:rsid w:val="009466E4"/>
    <w:rsid w:val="00946CEC"/>
    <w:rsid w:val="0094747D"/>
    <w:rsid w:val="00947D90"/>
    <w:rsid w:val="00950880"/>
    <w:rsid w:val="00951237"/>
    <w:rsid w:val="00951A98"/>
    <w:rsid w:val="00951E10"/>
    <w:rsid w:val="00952616"/>
    <w:rsid w:val="0095344F"/>
    <w:rsid w:val="009545CD"/>
    <w:rsid w:val="00954BA8"/>
    <w:rsid w:val="009551EC"/>
    <w:rsid w:val="0095749A"/>
    <w:rsid w:val="0096098B"/>
    <w:rsid w:val="009613D0"/>
    <w:rsid w:val="009614F9"/>
    <w:rsid w:val="009619CB"/>
    <w:rsid w:val="009619DF"/>
    <w:rsid w:val="009648CD"/>
    <w:rsid w:val="00964901"/>
    <w:rsid w:val="00965B2E"/>
    <w:rsid w:val="0096787A"/>
    <w:rsid w:val="00970463"/>
    <w:rsid w:val="00970D5D"/>
    <w:rsid w:val="00971645"/>
    <w:rsid w:val="00971803"/>
    <w:rsid w:val="00972998"/>
    <w:rsid w:val="00973051"/>
    <w:rsid w:val="00973E1B"/>
    <w:rsid w:val="00974071"/>
    <w:rsid w:val="00974E75"/>
    <w:rsid w:val="00976070"/>
    <w:rsid w:val="009766E7"/>
    <w:rsid w:val="00976C97"/>
    <w:rsid w:val="0098095C"/>
    <w:rsid w:val="00981959"/>
    <w:rsid w:val="00982549"/>
    <w:rsid w:val="00984221"/>
    <w:rsid w:val="009848A2"/>
    <w:rsid w:val="0099020F"/>
    <w:rsid w:val="00990716"/>
    <w:rsid w:val="009921CD"/>
    <w:rsid w:val="00992AFA"/>
    <w:rsid w:val="00992D11"/>
    <w:rsid w:val="00992EB3"/>
    <w:rsid w:val="0099300D"/>
    <w:rsid w:val="00994998"/>
    <w:rsid w:val="0099539F"/>
    <w:rsid w:val="00995452"/>
    <w:rsid w:val="00995DAD"/>
    <w:rsid w:val="009964ED"/>
    <w:rsid w:val="00996B41"/>
    <w:rsid w:val="0099722B"/>
    <w:rsid w:val="0099781B"/>
    <w:rsid w:val="009A077A"/>
    <w:rsid w:val="009A0B99"/>
    <w:rsid w:val="009A0CC3"/>
    <w:rsid w:val="009A327C"/>
    <w:rsid w:val="009A3CB1"/>
    <w:rsid w:val="009A3DFC"/>
    <w:rsid w:val="009A549B"/>
    <w:rsid w:val="009A5C1F"/>
    <w:rsid w:val="009A7DEB"/>
    <w:rsid w:val="009B016B"/>
    <w:rsid w:val="009B02E3"/>
    <w:rsid w:val="009B077D"/>
    <w:rsid w:val="009B0E60"/>
    <w:rsid w:val="009B1290"/>
    <w:rsid w:val="009B13F5"/>
    <w:rsid w:val="009B1E98"/>
    <w:rsid w:val="009B2A74"/>
    <w:rsid w:val="009B355B"/>
    <w:rsid w:val="009B3F06"/>
    <w:rsid w:val="009B58A3"/>
    <w:rsid w:val="009B5A1C"/>
    <w:rsid w:val="009B5B1B"/>
    <w:rsid w:val="009B6E31"/>
    <w:rsid w:val="009B703A"/>
    <w:rsid w:val="009B7048"/>
    <w:rsid w:val="009B76AA"/>
    <w:rsid w:val="009B7C9F"/>
    <w:rsid w:val="009C003D"/>
    <w:rsid w:val="009C01BC"/>
    <w:rsid w:val="009C024B"/>
    <w:rsid w:val="009C2375"/>
    <w:rsid w:val="009C2797"/>
    <w:rsid w:val="009C294E"/>
    <w:rsid w:val="009C2EE7"/>
    <w:rsid w:val="009C3A00"/>
    <w:rsid w:val="009C3CF4"/>
    <w:rsid w:val="009C5D42"/>
    <w:rsid w:val="009C5E5C"/>
    <w:rsid w:val="009C62B9"/>
    <w:rsid w:val="009C65DB"/>
    <w:rsid w:val="009C672D"/>
    <w:rsid w:val="009C6E73"/>
    <w:rsid w:val="009C74A0"/>
    <w:rsid w:val="009D4329"/>
    <w:rsid w:val="009D4B0C"/>
    <w:rsid w:val="009D51E6"/>
    <w:rsid w:val="009D55B8"/>
    <w:rsid w:val="009D5916"/>
    <w:rsid w:val="009D7F1A"/>
    <w:rsid w:val="009E1E32"/>
    <w:rsid w:val="009E20A2"/>
    <w:rsid w:val="009E21D9"/>
    <w:rsid w:val="009E2456"/>
    <w:rsid w:val="009E3DCA"/>
    <w:rsid w:val="009E3EDA"/>
    <w:rsid w:val="009E5CB8"/>
    <w:rsid w:val="009E618A"/>
    <w:rsid w:val="009F1BE7"/>
    <w:rsid w:val="009F23DD"/>
    <w:rsid w:val="009F2B5E"/>
    <w:rsid w:val="009F2D45"/>
    <w:rsid w:val="009F3E94"/>
    <w:rsid w:val="009F4B5B"/>
    <w:rsid w:val="009F6208"/>
    <w:rsid w:val="009F722C"/>
    <w:rsid w:val="009F7E94"/>
    <w:rsid w:val="00A003CF"/>
    <w:rsid w:val="00A008AC"/>
    <w:rsid w:val="00A02205"/>
    <w:rsid w:val="00A0307B"/>
    <w:rsid w:val="00A04DBE"/>
    <w:rsid w:val="00A05444"/>
    <w:rsid w:val="00A058B6"/>
    <w:rsid w:val="00A058E8"/>
    <w:rsid w:val="00A05CEB"/>
    <w:rsid w:val="00A067A1"/>
    <w:rsid w:val="00A1149C"/>
    <w:rsid w:val="00A12B95"/>
    <w:rsid w:val="00A12C39"/>
    <w:rsid w:val="00A12FFA"/>
    <w:rsid w:val="00A13AA8"/>
    <w:rsid w:val="00A14531"/>
    <w:rsid w:val="00A14B94"/>
    <w:rsid w:val="00A16045"/>
    <w:rsid w:val="00A167A9"/>
    <w:rsid w:val="00A1698E"/>
    <w:rsid w:val="00A201A2"/>
    <w:rsid w:val="00A203E2"/>
    <w:rsid w:val="00A21489"/>
    <w:rsid w:val="00A21A31"/>
    <w:rsid w:val="00A21ACF"/>
    <w:rsid w:val="00A22603"/>
    <w:rsid w:val="00A230C3"/>
    <w:rsid w:val="00A23597"/>
    <w:rsid w:val="00A278D8"/>
    <w:rsid w:val="00A27CBF"/>
    <w:rsid w:val="00A27D61"/>
    <w:rsid w:val="00A31081"/>
    <w:rsid w:val="00A31A66"/>
    <w:rsid w:val="00A32084"/>
    <w:rsid w:val="00A323E8"/>
    <w:rsid w:val="00A32ADA"/>
    <w:rsid w:val="00A35C72"/>
    <w:rsid w:val="00A3700E"/>
    <w:rsid w:val="00A370A5"/>
    <w:rsid w:val="00A37C7B"/>
    <w:rsid w:val="00A37F4A"/>
    <w:rsid w:val="00A40101"/>
    <w:rsid w:val="00A40123"/>
    <w:rsid w:val="00A40B51"/>
    <w:rsid w:val="00A40C96"/>
    <w:rsid w:val="00A41A1C"/>
    <w:rsid w:val="00A42709"/>
    <w:rsid w:val="00A43B65"/>
    <w:rsid w:val="00A44E3A"/>
    <w:rsid w:val="00A45426"/>
    <w:rsid w:val="00A45DD9"/>
    <w:rsid w:val="00A501E9"/>
    <w:rsid w:val="00A507C9"/>
    <w:rsid w:val="00A5150A"/>
    <w:rsid w:val="00A51802"/>
    <w:rsid w:val="00A53429"/>
    <w:rsid w:val="00A5396A"/>
    <w:rsid w:val="00A545F0"/>
    <w:rsid w:val="00A55213"/>
    <w:rsid w:val="00A55AF6"/>
    <w:rsid w:val="00A6007F"/>
    <w:rsid w:val="00A609D4"/>
    <w:rsid w:val="00A630FF"/>
    <w:rsid w:val="00A63218"/>
    <w:rsid w:val="00A63EBD"/>
    <w:rsid w:val="00A7040C"/>
    <w:rsid w:val="00A70B85"/>
    <w:rsid w:val="00A70F8C"/>
    <w:rsid w:val="00A716EE"/>
    <w:rsid w:val="00A71D54"/>
    <w:rsid w:val="00A7553B"/>
    <w:rsid w:val="00A765D1"/>
    <w:rsid w:val="00A76858"/>
    <w:rsid w:val="00A76E7C"/>
    <w:rsid w:val="00A803BB"/>
    <w:rsid w:val="00A81B2A"/>
    <w:rsid w:val="00A82809"/>
    <w:rsid w:val="00A82929"/>
    <w:rsid w:val="00A83304"/>
    <w:rsid w:val="00A8343F"/>
    <w:rsid w:val="00A836D0"/>
    <w:rsid w:val="00A84CE0"/>
    <w:rsid w:val="00A867E4"/>
    <w:rsid w:val="00A87261"/>
    <w:rsid w:val="00A87325"/>
    <w:rsid w:val="00A907C4"/>
    <w:rsid w:val="00A90869"/>
    <w:rsid w:val="00A91AA1"/>
    <w:rsid w:val="00A92008"/>
    <w:rsid w:val="00A925F1"/>
    <w:rsid w:val="00A92D84"/>
    <w:rsid w:val="00A93184"/>
    <w:rsid w:val="00A95CD7"/>
    <w:rsid w:val="00A95FD7"/>
    <w:rsid w:val="00AA3342"/>
    <w:rsid w:val="00AA3B33"/>
    <w:rsid w:val="00AA554B"/>
    <w:rsid w:val="00AA56CC"/>
    <w:rsid w:val="00AA61E3"/>
    <w:rsid w:val="00AA6954"/>
    <w:rsid w:val="00AA6B45"/>
    <w:rsid w:val="00AB04C9"/>
    <w:rsid w:val="00AB27CB"/>
    <w:rsid w:val="00AB4AEE"/>
    <w:rsid w:val="00AB5653"/>
    <w:rsid w:val="00AB594E"/>
    <w:rsid w:val="00AB6088"/>
    <w:rsid w:val="00AB70E3"/>
    <w:rsid w:val="00AB761E"/>
    <w:rsid w:val="00AC026F"/>
    <w:rsid w:val="00AC095C"/>
    <w:rsid w:val="00AC0CDC"/>
    <w:rsid w:val="00AC0FE5"/>
    <w:rsid w:val="00AC3614"/>
    <w:rsid w:val="00AC4ED0"/>
    <w:rsid w:val="00AC4EF8"/>
    <w:rsid w:val="00AC72C7"/>
    <w:rsid w:val="00AC73DB"/>
    <w:rsid w:val="00AD2D1E"/>
    <w:rsid w:val="00AD30A0"/>
    <w:rsid w:val="00AD3111"/>
    <w:rsid w:val="00AD4628"/>
    <w:rsid w:val="00AD465C"/>
    <w:rsid w:val="00AD481B"/>
    <w:rsid w:val="00AD4E93"/>
    <w:rsid w:val="00AD4FC6"/>
    <w:rsid w:val="00AD4FDF"/>
    <w:rsid w:val="00AD607C"/>
    <w:rsid w:val="00AD7514"/>
    <w:rsid w:val="00AE08BE"/>
    <w:rsid w:val="00AE0B62"/>
    <w:rsid w:val="00AE121F"/>
    <w:rsid w:val="00AE1F5C"/>
    <w:rsid w:val="00AE2942"/>
    <w:rsid w:val="00AE2EAA"/>
    <w:rsid w:val="00AE471B"/>
    <w:rsid w:val="00AE4A0F"/>
    <w:rsid w:val="00AE4F4B"/>
    <w:rsid w:val="00AE63F5"/>
    <w:rsid w:val="00AE67B8"/>
    <w:rsid w:val="00AE7302"/>
    <w:rsid w:val="00AF1CC9"/>
    <w:rsid w:val="00AF5279"/>
    <w:rsid w:val="00AF76D8"/>
    <w:rsid w:val="00AF7A6A"/>
    <w:rsid w:val="00AF7CEF"/>
    <w:rsid w:val="00B02768"/>
    <w:rsid w:val="00B03932"/>
    <w:rsid w:val="00B07A03"/>
    <w:rsid w:val="00B07B81"/>
    <w:rsid w:val="00B07D86"/>
    <w:rsid w:val="00B135FB"/>
    <w:rsid w:val="00B13C16"/>
    <w:rsid w:val="00B1506C"/>
    <w:rsid w:val="00B1763D"/>
    <w:rsid w:val="00B17D18"/>
    <w:rsid w:val="00B17F0D"/>
    <w:rsid w:val="00B223AF"/>
    <w:rsid w:val="00B249CF"/>
    <w:rsid w:val="00B24FF4"/>
    <w:rsid w:val="00B27122"/>
    <w:rsid w:val="00B2734F"/>
    <w:rsid w:val="00B30481"/>
    <w:rsid w:val="00B323B9"/>
    <w:rsid w:val="00B3266D"/>
    <w:rsid w:val="00B33C31"/>
    <w:rsid w:val="00B35471"/>
    <w:rsid w:val="00B37F36"/>
    <w:rsid w:val="00B404A6"/>
    <w:rsid w:val="00B42E2E"/>
    <w:rsid w:val="00B43A28"/>
    <w:rsid w:val="00B4487D"/>
    <w:rsid w:val="00B44F0E"/>
    <w:rsid w:val="00B45671"/>
    <w:rsid w:val="00B45B50"/>
    <w:rsid w:val="00B50B88"/>
    <w:rsid w:val="00B51AEF"/>
    <w:rsid w:val="00B538B4"/>
    <w:rsid w:val="00B53C0C"/>
    <w:rsid w:val="00B540F7"/>
    <w:rsid w:val="00B54409"/>
    <w:rsid w:val="00B5447A"/>
    <w:rsid w:val="00B54705"/>
    <w:rsid w:val="00B553C9"/>
    <w:rsid w:val="00B56637"/>
    <w:rsid w:val="00B61C5D"/>
    <w:rsid w:val="00B61D27"/>
    <w:rsid w:val="00B621F1"/>
    <w:rsid w:val="00B62598"/>
    <w:rsid w:val="00B62CAE"/>
    <w:rsid w:val="00B62FDE"/>
    <w:rsid w:val="00B631AD"/>
    <w:rsid w:val="00B64473"/>
    <w:rsid w:val="00B65228"/>
    <w:rsid w:val="00B658BF"/>
    <w:rsid w:val="00B66156"/>
    <w:rsid w:val="00B662BA"/>
    <w:rsid w:val="00B70930"/>
    <w:rsid w:val="00B70C92"/>
    <w:rsid w:val="00B7113C"/>
    <w:rsid w:val="00B7133C"/>
    <w:rsid w:val="00B727D9"/>
    <w:rsid w:val="00B72C3D"/>
    <w:rsid w:val="00B72DE8"/>
    <w:rsid w:val="00B7300D"/>
    <w:rsid w:val="00B74F22"/>
    <w:rsid w:val="00B75358"/>
    <w:rsid w:val="00B76FD4"/>
    <w:rsid w:val="00B7768C"/>
    <w:rsid w:val="00B81A11"/>
    <w:rsid w:val="00B81C62"/>
    <w:rsid w:val="00B81ED3"/>
    <w:rsid w:val="00B8214E"/>
    <w:rsid w:val="00B823A0"/>
    <w:rsid w:val="00B8434B"/>
    <w:rsid w:val="00B843C8"/>
    <w:rsid w:val="00B848F1"/>
    <w:rsid w:val="00B84E9A"/>
    <w:rsid w:val="00B86253"/>
    <w:rsid w:val="00B87BD3"/>
    <w:rsid w:val="00B87EBD"/>
    <w:rsid w:val="00B906A2"/>
    <w:rsid w:val="00B90C1F"/>
    <w:rsid w:val="00B9131E"/>
    <w:rsid w:val="00B9186C"/>
    <w:rsid w:val="00B91E18"/>
    <w:rsid w:val="00B93556"/>
    <w:rsid w:val="00B93BDD"/>
    <w:rsid w:val="00B94420"/>
    <w:rsid w:val="00B94EDD"/>
    <w:rsid w:val="00B94F6E"/>
    <w:rsid w:val="00BA007B"/>
    <w:rsid w:val="00BA00E8"/>
    <w:rsid w:val="00BA0338"/>
    <w:rsid w:val="00BA06CB"/>
    <w:rsid w:val="00BA0F3F"/>
    <w:rsid w:val="00BA1D66"/>
    <w:rsid w:val="00BA2CDE"/>
    <w:rsid w:val="00BA36F7"/>
    <w:rsid w:val="00BB07DE"/>
    <w:rsid w:val="00BB096B"/>
    <w:rsid w:val="00BB167A"/>
    <w:rsid w:val="00BB1F59"/>
    <w:rsid w:val="00BB355A"/>
    <w:rsid w:val="00BB3690"/>
    <w:rsid w:val="00BB3F1D"/>
    <w:rsid w:val="00BB4D3C"/>
    <w:rsid w:val="00BB56A0"/>
    <w:rsid w:val="00BB5D92"/>
    <w:rsid w:val="00BB6AD8"/>
    <w:rsid w:val="00BB6B86"/>
    <w:rsid w:val="00BB6CC2"/>
    <w:rsid w:val="00BB7AEC"/>
    <w:rsid w:val="00BC046B"/>
    <w:rsid w:val="00BC0BA7"/>
    <w:rsid w:val="00BC20A7"/>
    <w:rsid w:val="00BC22D8"/>
    <w:rsid w:val="00BC4719"/>
    <w:rsid w:val="00BC4AC1"/>
    <w:rsid w:val="00BC5802"/>
    <w:rsid w:val="00BC69D0"/>
    <w:rsid w:val="00BC6B54"/>
    <w:rsid w:val="00BD06DC"/>
    <w:rsid w:val="00BD11A3"/>
    <w:rsid w:val="00BD2504"/>
    <w:rsid w:val="00BD3FA8"/>
    <w:rsid w:val="00BD5027"/>
    <w:rsid w:val="00BD5FCB"/>
    <w:rsid w:val="00BD75FD"/>
    <w:rsid w:val="00BE093E"/>
    <w:rsid w:val="00BE2562"/>
    <w:rsid w:val="00BE283B"/>
    <w:rsid w:val="00BE2C56"/>
    <w:rsid w:val="00BE36CD"/>
    <w:rsid w:val="00BE43A3"/>
    <w:rsid w:val="00BE477E"/>
    <w:rsid w:val="00BE53DB"/>
    <w:rsid w:val="00BE5B06"/>
    <w:rsid w:val="00BF0AC6"/>
    <w:rsid w:val="00BF13C8"/>
    <w:rsid w:val="00BF3491"/>
    <w:rsid w:val="00BF3655"/>
    <w:rsid w:val="00BF482F"/>
    <w:rsid w:val="00BF4DB7"/>
    <w:rsid w:val="00BF6450"/>
    <w:rsid w:val="00BF6BF7"/>
    <w:rsid w:val="00C028BA"/>
    <w:rsid w:val="00C04609"/>
    <w:rsid w:val="00C04971"/>
    <w:rsid w:val="00C0709E"/>
    <w:rsid w:val="00C10128"/>
    <w:rsid w:val="00C11BC6"/>
    <w:rsid w:val="00C11D7E"/>
    <w:rsid w:val="00C13510"/>
    <w:rsid w:val="00C14195"/>
    <w:rsid w:val="00C14A8A"/>
    <w:rsid w:val="00C15B84"/>
    <w:rsid w:val="00C15D2F"/>
    <w:rsid w:val="00C16311"/>
    <w:rsid w:val="00C1681D"/>
    <w:rsid w:val="00C175F1"/>
    <w:rsid w:val="00C177B4"/>
    <w:rsid w:val="00C20402"/>
    <w:rsid w:val="00C20A6F"/>
    <w:rsid w:val="00C210EB"/>
    <w:rsid w:val="00C2292D"/>
    <w:rsid w:val="00C229B6"/>
    <w:rsid w:val="00C23063"/>
    <w:rsid w:val="00C250C0"/>
    <w:rsid w:val="00C26252"/>
    <w:rsid w:val="00C263B1"/>
    <w:rsid w:val="00C2663D"/>
    <w:rsid w:val="00C266D6"/>
    <w:rsid w:val="00C26CC8"/>
    <w:rsid w:val="00C2711E"/>
    <w:rsid w:val="00C279E3"/>
    <w:rsid w:val="00C27E1F"/>
    <w:rsid w:val="00C3042B"/>
    <w:rsid w:val="00C31023"/>
    <w:rsid w:val="00C33933"/>
    <w:rsid w:val="00C34A28"/>
    <w:rsid w:val="00C3610E"/>
    <w:rsid w:val="00C4262A"/>
    <w:rsid w:val="00C431FB"/>
    <w:rsid w:val="00C43943"/>
    <w:rsid w:val="00C43B0A"/>
    <w:rsid w:val="00C44E9D"/>
    <w:rsid w:val="00C47C38"/>
    <w:rsid w:val="00C5082C"/>
    <w:rsid w:val="00C525AC"/>
    <w:rsid w:val="00C5387C"/>
    <w:rsid w:val="00C54132"/>
    <w:rsid w:val="00C55167"/>
    <w:rsid w:val="00C5596E"/>
    <w:rsid w:val="00C56449"/>
    <w:rsid w:val="00C564AD"/>
    <w:rsid w:val="00C57305"/>
    <w:rsid w:val="00C57712"/>
    <w:rsid w:val="00C57C33"/>
    <w:rsid w:val="00C60E40"/>
    <w:rsid w:val="00C624F5"/>
    <w:rsid w:val="00C628B1"/>
    <w:rsid w:val="00C62A32"/>
    <w:rsid w:val="00C635AA"/>
    <w:rsid w:val="00C63620"/>
    <w:rsid w:val="00C644B1"/>
    <w:rsid w:val="00C64DA9"/>
    <w:rsid w:val="00C65755"/>
    <w:rsid w:val="00C67010"/>
    <w:rsid w:val="00C670DD"/>
    <w:rsid w:val="00C672A6"/>
    <w:rsid w:val="00C70B2B"/>
    <w:rsid w:val="00C710CC"/>
    <w:rsid w:val="00C71A11"/>
    <w:rsid w:val="00C721C5"/>
    <w:rsid w:val="00C72518"/>
    <w:rsid w:val="00C733E0"/>
    <w:rsid w:val="00C73B73"/>
    <w:rsid w:val="00C74148"/>
    <w:rsid w:val="00C7472F"/>
    <w:rsid w:val="00C75020"/>
    <w:rsid w:val="00C75346"/>
    <w:rsid w:val="00C76287"/>
    <w:rsid w:val="00C762BE"/>
    <w:rsid w:val="00C7661A"/>
    <w:rsid w:val="00C77021"/>
    <w:rsid w:val="00C7759A"/>
    <w:rsid w:val="00C77CB9"/>
    <w:rsid w:val="00C80788"/>
    <w:rsid w:val="00C81398"/>
    <w:rsid w:val="00C86757"/>
    <w:rsid w:val="00C9141F"/>
    <w:rsid w:val="00C91AB9"/>
    <w:rsid w:val="00C91CE6"/>
    <w:rsid w:val="00C91D37"/>
    <w:rsid w:val="00C922D7"/>
    <w:rsid w:val="00C923E2"/>
    <w:rsid w:val="00C924EF"/>
    <w:rsid w:val="00C9344B"/>
    <w:rsid w:val="00C9364B"/>
    <w:rsid w:val="00C93B75"/>
    <w:rsid w:val="00C949B3"/>
    <w:rsid w:val="00C94A49"/>
    <w:rsid w:val="00C95A61"/>
    <w:rsid w:val="00C96616"/>
    <w:rsid w:val="00C96EAD"/>
    <w:rsid w:val="00C97044"/>
    <w:rsid w:val="00CA2E1B"/>
    <w:rsid w:val="00CA37FA"/>
    <w:rsid w:val="00CA4A64"/>
    <w:rsid w:val="00CA4CE9"/>
    <w:rsid w:val="00CA70CD"/>
    <w:rsid w:val="00CA7B6B"/>
    <w:rsid w:val="00CB0196"/>
    <w:rsid w:val="00CB0348"/>
    <w:rsid w:val="00CB18D1"/>
    <w:rsid w:val="00CB1978"/>
    <w:rsid w:val="00CB279F"/>
    <w:rsid w:val="00CB35EF"/>
    <w:rsid w:val="00CB4D73"/>
    <w:rsid w:val="00CB63F3"/>
    <w:rsid w:val="00CB65D9"/>
    <w:rsid w:val="00CB6874"/>
    <w:rsid w:val="00CB68E9"/>
    <w:rsid w:val="00CB7DF8"/>
    <w:rsid w:val="00CB7F0B"/>
    <w:rsid w:val="00CC4FF6"/>
    <w:rsid w:val="00CC50D2"/>
    <w:rsid w:val="00CC600E"/>
    <w:rsid w:val="00CC6F6E"/>
    <w:rsid w:val="00CD02BE"/>
    <w:rsid w:val="00CD143D"/>
    <w:rsid w:val="00CD23D6"/>
    <w:rsid w:val="00CD2AAB"/>
    <w:rsid w:val="00CD2F73"/>
    <w:rsid w:val="00CD325D"/>
    <w:rsid w:val="00CD3642"/>
    <w:rsid w:val="00CD3D99"/>
    <w:rsid w:val="00CD43D9"/>
    <w:rsid w:val="00CD4457"/>
    <w:rsid w:val="00CD599A"/>
    <w:rsid w:val="00CD6B38"/>
    <w:rsid w:val="00CE069B"/>
    <w:rsid w:val="00CE1882"/>
    <w:rsid w:val="00CE231F"/>
    <w:rsid w:val="00CE29B5"/>
    <w:rsid w:val="00CE2D11"/>
    <w:rsid w:val="00CE46EF"/>
    <w:rsid w:val="00CE5778"/>
    <w:rsid w:val="00CE593C"/>
    <w:rsid w:val="00CE5AE5"/>
    <w:rsid w:val="00CE7198"/>
    <w:rsid w:val="00CE71F3"/>
    <w:rsid w:val="00CF00FA"/>
    <w:rsid w:val="00CF032D"/>
    <w:rsid w:val="00CF0C0C"/>
    <w:rsid w:val="00CF111A"/>
    <w:rsid w:val="00CF1525"/>
    <w:rsid w:val="00CF188A"/>
    <w:rsid w:val="00CF2E97"/>
    <w:rsid w:val="00CF3A99"/>
    <w:rsid w:val="00CF3FE0"/>
    <w:rsid w:val="00CF46C6"/>
    <w:rsid w:val="00CF6454"/>
    <w:rsid w:val="00CF68D3"/>
    <w:rsid w:val="00CF6954"/>
    <w:rsid w:val="00CF7445"/>
    <w:rsid w:val="00D00045"/>
    <w:rsid w:val="00D01229"/>
    <w:rsid w:val="00D014B1"/>
    <w:rsid w:val="00D01884"/>
    <w:rsid w:val="00D02C58"/>
    <w:rsid w:val="00D0419C"/>
    <w:rsid w:val="00D043D6"/>
    <w:rsid w:val="00D04B56"/>
    <w:rsid w:val="00D06023"/>
    <w:rsid w:val="00D070F2"/>
    <w:rsid w:val="00D072C0"/>
    <w:rsid w:val="00D07D94"/>
    <w:rsid w:val="00D10651"/>
    <w:rsid w:val="00D11661"/>
    <w:rsid w:val="00D11901"/>
    <w:rsid w:val="00D11A9E"/>
    <w:rsid w:val="00D11AE6"/>
    <w:rsid w:val="00D124C9"/>
    <w:rsid w:val="00D1369C"/>
    <w:rsid w:val="00D138B1"/>
    <w:rsid w:val="00D14ACA"/>
    <w:rsid w:val="00D1707E"/>
    <w:rsid w:val="00D258C1"/>
    <w:rsid w:val="00D2628D"/>
    <w:rsid w:val="00D278A4"/>
    <w:rsid w:val="00D302E2"/>
    <w:rsid w:val="00D30417"/>
    <w:rsid w:val="00D31DD2"/>
    <w:rsid w:val="00D326A3"/>
    <w:rsid w:val="00D32F6A"/>
    <w:rsid w:val="00D33313"/>
    <w:rsid w:val="00D344DA"/>
    <w:rsid w:val="00D35180"/>
    <w:rsid w:val="00D35DF0"/>
    <w:rsid w:val="00D40449"/>
    <w:rsid w:val="00D40548"/>
    <w:rsid w:val="00D40F5F"/>
    <w:rsid w:val="00D41478"/>
    <w:rsid w:val="00D4698F"/>
    <w:rsid w:val="00D50370"/>
    <w:rsid w:val="00D51E0A"/>
    <w:rsid w:val="00D52CAC"/>
    <w:rsid w:val="00D53420"/>
    <w:rsid w:val="00D5373C"/>
    <w:rsid w:val="00D53CD9"/>
    <w:rsid w:val="00D543EC"/>
    <w:rsid w:val="00D56DB3"/>
    <w:rsid w:val="00D56EC7"/>
    <w:rsid w:val="00D6483E"/>
    <w:rsid w:val="00D64A07"/>
    <w:rsid w:val="00D64F09"/>
    <w:rsid w:val="00D64F83"/>
    <w:rsid w:val="00D65F9D"/>
    <w:rsid w:val="00D66482"/>
    <w:rsid w:val="00D67EF8"/>
    <w:rsid w:val="00D70726"/>
    <w:rsid w:val="00D7323A"/>
    <w:rsid w:val="00D733A0"/>
    <w:rsid w:val="00D734C4"/>
    <w:rsid w:val="00D735B3"/>
    <w:rsid w:val="00D7378D"/>
    <w:rsid w:val="00D752E5"/>
    <w:rsid w:val="00D75D9D"/>
    <w:rsid w:val="00D76259"/>
    <w:rsid w:val="00D76FBC"/>
    <w:rsid w:val="00D81A87"/>
    <w:rsid w:val="00D81BDA"/>
    <w:rsid w:val="00D821FB"/>
    <w:rsid w:val="00D833E6"/>
    <w:rsid w:val="00D83BB1"/>
    <w:rsid w:val="00D83EF2"/>
    <w:rsid w:val="00D83EF8"/>
    <w:rsid w:val="00D85E3B"/>
    <w:rsid w:val="00D87462"/>
    <w:rsid w:val="00D9135F"/>
    <w:rsid w:val="00D940E1"/>
    <w:rsid w:val="00D94583"/>
    <w:rsid w:val="00D94891"/>
    <w:rsid w:val="00D95BF3"/>
    <w:rsid w:val="00D97D5B"/>
    <w:rsid w:val="00DA14C2"/>
    <w:rsid w:val="00DA1A3E"/>
    <w:rsid w:val="00DA1CB5"/>
    <w:rsid w:val="00DA227A"/>
    <w:rsid w:val="00DA4509"/>
    <w:rsid w:val="00DA5177"/>
    <w:rsid w:val="00DA5E33"/>
    <w:rsid w:val="00DB2046"/>
    <w:rsid w:val="00DB2149"/>
    <w:rsid w:val="00DB28C9"/>
    <w:rsid w:val="00DB2EBF"/>
    <w:rsid w:val="00DB3B1B"/>
    <w:rsid w:val="00DB3F20"/>
    <w:rsid w:val="00DB4083"/>
    <w:rsid w:val="00DB5560"/>
    <w:rsid w:val="00DB56A7"/>
    <w:rsid w:val="00DB6390"/>
    <w:rsid w:val="00DB7F5A"/>
    <w:rsid w:val="00DC09A5"/>
    <w:rsid w:val="00DC09EA"/>
    <w:rsid w:val="00DC13F2"/>
    <w:rsid w:val="00DC1A9E"/>
    <w:rsid w:val="00DC1CE6"/>
    <w:rsid w:val="00DC2029"/>
    <w:rsid w:val="00DC39EC"/>
    <w:rsid w:val="00DC3BA9"/>
    <w:rsid w:val="00DC4D00"/>
    <w:rsid w:val="00DC60E8"/>
    <w:rsid w:val="00DC7782"/>
    <w:rsid w:val="00DD082D"/>
    <w:rsid w:val="00DD37B9"/>
    <w:rsid w:val="00DD60C3"/>
    <w:rsid w:val="00DD7F8A"/>
    <w:rsid w:val="00DD7FDC"/>
    <w:rsid w:val="00DE05A0"/>
    <w:rsid w:val="00DE2232"/>
    <w:rsid w:val="00DE383E"/>
    <w:rsid w:val="00DE3988"/>
    <w:rsid w:val="00DE3B76"/>
    <w:rsid w:val="00DE3C80"/>
    <w:rsid w:val="00DE5025"/>
    <w:rsid w:val="00DE6EA9"/>
    <w:rsid w:val="00DE71F3"/>
    <w:rsid w:val="00DE78C8"/>
    <w:rsid w:val="00DF17D3"/>
    <w:rsid w:val="00DF2C91"/>
    <w:rsid w:val="00DF3394"/>
    <w:rsid w:val="00DF4005"/>
    <w:rsid w:val="00DF40CB"/>
    <w:rsid w:val="00DF40EA"/>
    <w:rsid w:val="00DF4161"/>
    <w:rsid w:val="00DF441C"/>
    <w:rsid w:val="00DF4516"/>
    <w:rsid w:val="00DF4B1B"/>
    <w:rsid w:val="00DF629E"/>
    <w:rsid w:val="00DF7573"/>
    <w:rsid w:val="00DF7D55"/>
    <w:rsid w:val="00E02E28"/>
    <w:rsid w:val="00E02FA0"/>
    <w:rsid w:val="00E07AA8"/>
    <w:rsid w:val="00E07E48"/>
    <w:rsid w:val="00E10DDA"/>
    <w:rsid w:val="00E11A59"/>
    <w:rsid w:val="00E12D99"/>
    <w:rsid w:val="00E15700"/>
    <w:rsid w:val="00E15AA3"/>
    <w:rsid w:val="00E15FD8"/>
    <w:rsid w:val="00E1678F"/>
    <w:rsid w:val="00E16F99"/>
    <w:rsid w:val="00E20B86"/>
    <w:rsid w:val="00E21E68"/>
    <w:rsid w:val="00E21E6E"/>
    <w:rsid w:val="00E22235"/>
    <w:rsid w:val="00E22996"/>
    <w:rsid w:val="00E255FF"/>
    <w:rsid w:val="00E265D9"/>
    <w:rsid w:val="00E26B3F"/>
    <w:rsid w:val="00E27128"/>
    <w:rsid w:val="00E31272"/>
    <w:rsid w:val="00E33BEB"/>
    <w:rsid w:val="00E35942"/>
    <w:rsid w:val="00E3741C"/>
    <w:rsid w:val="00E4289C"/>
    <w:rsid w:val="00E42D46"/>
    <w:rsid w:val="00E43637"/>
    <w:rsid w:val="00E437AA"/>
    <w:rsid w:val="00E44219"/>
    <w:rsid w:val="00E46634"/>
    <w:rsid w:val="00E50D7F"/>
    <w:rsid w:val="00E52714"/>
    <w:rsid w:val="00E5298D"/>
    <w:rsid w:val="00E5334C"/>
    <w:rsid w:val="00E534D7"/>
    <w:rsid w:val="00E541E2"/>
    <w:rsid w:val="00E545E5"/>
    <w:rsid w:val="00E5597C"/>
    <w:rsid w:val="00E56267"/>
    <w:rsid w:val="00E57E24"/>
    <w:rsid w:val="00E60715"/>
    <w:rsid w:val="00E60A4B"/>
    <w:rsid w:val="00E6124E"/>
    <w:rsid w:val="00E6388F"/>
    <w:rsid w:val="00E64112"/>
    <w:rsid w:val="00E64E71"/>
    <w:rsid w:val="00E65698"/>
    <w:rsid w:val="00E65B4D"/>
    <w:rsid w:val="00E66676"/>
    <w:rsid w:val="00E71D0E"/>
    <w:rsid w:val="00E728BB"/>
    <w:rsid w:val="00E752EB"/>
    <w:rsid w:val="00E754BC"/>
    <w:rsid w:val="00E754C3"/>
    <w:rsid w:val="00E75A4B"/>
    <w:rsid w:val="00E77718"/>
    <w:rsid w:val="00E77F9B"/>
    <w:rsid w:val="00E802D7"/>
    <w:rsid w:val="00E80561"/>
    <w:rsid w:val="00E80A9F"/>
    <w:rsid w:val="00E81E2E"/>
    <w:rsid w:val="00E81E7B"/>
    <w:rsid w:val="00E82401"/>
    <w:rsid w:val="00E833AE"/>
    <w:rsid w:val="00E838E5"/>
    <w:rsid w:val="00E83C56"/>
    <w:rsid w:val="00E84247"/>
    <w:rsid w:val="00E84CC0"/>
    <w:rsid w:val="00E87F07"/>
    <w:rsid w:val="00E9024A"/>
    <w:rsid w:val="00E90D58"/>
    <w:rsid w:val="00E916B3"/>
    <w:rsid w:val="00E9212C"/>
    <w:rsid w:val="00E928FA"/>
    <w:rsid w:val="00E92E76"/>
    <w:rsid w:val="00E9377B"/>
    <w:rsid w:val="00E95201"/>
    <w:rsid w:val="00E96B3F"/>
    <w:rsid w:val="00E97039"/>
    <w:rsid w:val="00E9789A"/>
    <w:rsid w:val="00E97E5B"/>
    <w:rsid w:val="00EA0416"/>
    <w:rsid w:val="00EA166C"/>
    <w:rsid w:val="00EA2511"/>
    <w:rsid w:val="00EA2BD3"/>
    <w:rsid w:val="00EA3792"/>
    <w:rsid w:val="00EA3878"/>
    <w:rsid w:val="00EA54F0"/>
    <w:rsid w:val="00EA6269"/>
    <w:rsid w:val="00EA6886"/>
    <w:rsid w:val="00EA75B3"/>
    <w:rsid w:val="00EA7D78"/>
    <w:rsid w:val="00EB0248"/>
    <w:rsid w:val="00EB08E0"/>
    <w:rsid w:val="00EB1CAC"/>
    <w:rsid w:val="00EB2A6F"/>
    <w:rsid w:val="00EB2A90"/>
    <w:rsid w:val="00EB2D61"/>
    <w:rsid w:val="00EB3CB8"/>
    <w:rsid w:val="00EB6B16"/>
    <w:rsid w:val="00EB703D"/>
    <w:rsid w:val="00EB799D"/>
    <w:rsid w:val="00EC06F4"/>
    <w:rsid w:val="00EC121E"/>
    <w:rsid w:val="00EC1CE6"/>
    <w:rsid w:val="00EC2308"/>
    <w:rsid w:val="00EC4026"/>
    <w:rsid w:val="00EC4D12"/>
    <w:rsid w:val="00EC5297"/>
    <w:rsid w:val="00EC5539"/>
    <w:rsid w:val="00EC6004"/>
    <w:rsid w:val="00ED07EC"/>
    <w:rsid w:val="00ED133F"/>
    <w:rsid w:val="00ED1ACB"/>
    <w:rsid w:val="00ED3D0F"/>
    <w:rsid w:val="00ED5179"/>
    <w:rsid w:val="00ED5702"/>
    <w:rsid w:val="00ED6210"/>
    <w:rsid w:val="00EE019B"/>
    <w:rsid w:val="00EE03DE"/>
    <w:rsid w:val="00EE1EC3"/>
    <w:rsid w:val="00EE2721"/>
    <w:rsid w:val="00EE29F6"/>
    <w:rsid w:val="00EE3812"/>
    <w:rsid w:val="00EE4425"/>
    <w:rsid w:val="00EE46D7"/>
    <w:rsid w:val="00EE4F97"/>
    <w:rsid w:val="00EE538C"/>
    <w:rsid w:val="00EE6167"/>
    <w:rsid w:val="00EE68B4"/>
    <w:rsid w:val="00EE6A76"/>
    <w:rsid w:val="00EE7E4A"/>
    <w:rsid w:val="00EF21DE"/>
    <w:rsid w:val="00EF2CFA"/>
    <w:rsid w:val="00EF31B4"/>
    <w:rsid w:val="00EF3441"/>
    <w:rsid w:val="00EF4168"/>
    <w:rsid w:val="00EF478A"/>
    <w:rsid w:val="00EF60BC"/>
    <w:rsid w:val="00EF628B"/>
    <w:rsid w:val="00F00813"/>
    <w:rsid w:val="00F00F1D"/>
    <w:rsid w:val="00F02739"/>
    <w:rsid w:val="00F03295"/>
    <w:rsid w:val="00F03355"/>
    <w:rsid w:val="00F03516"/>
    <w:rsid w:val="00F052CF"/>
    <w:rsid w:val="00F06540"/>
    <w:rsid w:val="00F0723F"/>
    <w:rsid w:val="00F07E3A"/>
    <w:rsid w:val="00F11852"/>
    <w:rsid w:val="00F11B29"/>
    <w:rsid w:val="00F11E57"/>
    <w:rsid w:val="00F11E65"/>
    <w:rsid w:val="00F1234D"/>
    <w:rsid w:val="00F13CDE"/>
    <w:rsid w:val="00F14643"/>
    <w:rsid w:val="00F15142"/>
    <w:rsid w:val="00F1596A"/>
    <w:rsid w:val="00F17A1A"/>
    <w:rsid w:val="00F2006C"/>
    <w:rsid w:val="00F20AD9"/>
    <w:rsid w:val="00F21650"/>
    <w:rsid w:val="00F22596"/>
    <w:rsid w:val="00F22EE9"/>
    <w:rsid w:val="00F23A78"/>
    <w:rsid w:val="00F25DE1"/>
    <w:rsid w:val="00F25F3A"/>
    <w:rsid w:val="00F275E4"/>
    <w:rsid w:val="00F277EF"/>
    <w:rsid w:val="00F30BB8"/>
    <w:rsid w:val="00F320B7"/>
    <w:rsid w:val="00F3269B"/>
    <w:rsid w:val="00F3649D"/>
    <w:rsid w:val="00F376E6"/>
    <w:rsid w:val="00F37989"/>
    <w:rsid w:val="00F41398"/>
    <w:rsid w:val="00F414D2"/>
    <w:rsid w:val="00F41E4C"/>
    <w:rsid w:val="00F42169"/>
    <w:rsid w:val="00F4361D"/>
    <w:rsid w:val="00F449DB"/>
    <w:rsid w:val="00F450AA"/>
    <w:rsid w:val="00F4515F"/>
    <w:rsid w:val="00F45575"/>
    <w:rsid w:val="00F455EA"/>
    <w:rsid w:val="00F45E5C"/>
    <w:rsid w:val="00F463A6"/>
    <w:rsid w:val="00F50E6D"/>
    <w:rsid w:val="00F534AE"/>
    <w:rsid w:val="00F53828"/>
    <w:rsid w:val="00F540F2"/>
    <w:rsid w:val="00F55199"/>
    <w:rsid w:val="00F554E3"/>
    <w:rsid w:val="00F5575D"/>
    <w:rsid w:val="00F560E3"/>
    <w:rsid w:val="00F56113"/>
    <w:rsid w:val="00F56F69"/>
    <w:rsid w:val="00F572B9"/>
    <w:rsid w:val="00F57BF9"/>
    <w:rsid w:val="00F60686"/>
    <w:rsid w:val="00F607BE"/>
    <w:rsid w:val="00F609DF"/>
    <w:rsid w:val="00F60B47"/>
    <w:rsid w:val="00F62454"/>
    <w:rsid w:val="00F62C49"/>
    <w:rsid w:val="00F62F1E"/>
    <w:rsid w:val="00F62FE3"/>
    <w:rsid w:val="00F63C1E"/>
    <w:rsid w:val="00F63D05"/>
    <w:rsid w:val="00F63FE5"/>
    <w:rsid w:val="00F65CE2"/>
    <w:rsid w:val="00F6629D"/>
    <w:rsid w:val="00F66529"/>
    <w:rsid w:val="00F705B4"/>
    <w:rsid w:val="00F72BD4"/>
    <w:rsid w:val="00F72D90"/>
    <w:rsid w:val="00F73A5D"/>
    <w:rsid w:val="00F74E84"/>
    <w:rsid w:val="00F761E2"/>
    <w:rsid w:val="00F80108"/>
    <w:rsid w:val="00F8046E"/>
    <w:rsid w:val="00F80EFE"/>
    <w:rsid w:val="00F80FBB"/>
    <w:rsid w:val="00F82309"/>
    <w:rsid w:val="00F824DD"/>
    <w:rsid w:val="00F830F7"/>
    <w:rsid w:val="00F83580"/>
    <w:rsid w:val="00F83823"/>
    <w:rsid w:val="00F8519E"/>
    <w:rsid w:val="00F857F8"/>
    <w:rsid w:val="00F86A3E"/>
    <w:rsid w:val="00F87006"/>
    <w:rsid w:val="00F8700B"/>
    <w:rsid w:val="00F8748E"/>
    <w:rsid w:val="00F904EB"/>
    <w:rsid w:val="00F93282"/>
    <w:rsid w:val="00F953A6"/>
    <w:rsid w:val="00F9589D"/>
    <w:rsid w:val="00F95C11"/>
    <w:rsid w:val="00F95E2D"/>
    <w:rsid w:val="00F964A3"/>
    <w:rsid w:val="00F96C98"/>
    <w:rsid w:val="00F97B4C"/>
    <w:rsid w:val="00FA0252"/>
    <w:rsid w:val="00FA0EB9"/>
    <w:rsid w:val="00FA15FC"/>
    <w:rsid w:val="00FA22E0"/>
    <w:rsid w:val="00FA278A"/>
    <w:rsid w:val="00FA34FC"/>
    <w:rsid w:val="00FA3504"/>
    <w:rsid w:val="00FA4563"/>
    <w:rsid w:val="00FA515B"/>
    <w:rsid w:val="00FA5C05"/>
    <w:rsid w:val="00FA716F"/>
    <w:rsid w:val="00FB0B3C"/>
    <w:rsid w:val="00FB1B53"/>
    <w:rsid w:val="00FB244A"/>
    <w:rsid w:val="00FB2467"/>
    <w:rsid w:val="00FB405F"/>
    <w:rsid w:val="00FB44A9"/>
    <w:rsid w:val="00FB4CA3"/>
    <w:rsid w:val="00FB538B"/>
    <w:rsid w:val="00FB64F0"/>
    <w:rsid w:val="00FB6BBA"/>
    <w:rsid w:val="00FB6FEC"/>
    <w:rsid w:val="00FB7195"/>
    <w:rsid w:val="00FB73FB"/>
    <w:rsid w:val="00FB7423"/>
    <w:rsid w:val="00FB7E38"/>
    <w:rsid w:val="00FC0864"/>
    <w:rsid w:val="00FC1CD8"/>
    <w:rsid w:val="00FC2676"/>
    <w:rsid w:val="00FC29E6"/>
    <w:rsid w:val="00FC2F93"/>
    <w:rsid w:val="00FC3B61"/>
    <w:rsid w:val="00FC404A"/>
    <w:rsid w:val="00FC40C6"/>
    <w:rsid w:val="00FC5230"/>
    <w:rsid w:val="00FC63E9"/>
    <w:rsid w:val="00FC6648"/>
    <w:rsid w:val="00FC6652"/>
    <w:rsid w:val="00FC7040"/>
    <w:rsid w:val="00FD0D3A"/>
    <w:rsid w:val="00FD0DBE"/>
    <w:rsid w:val="00FD17FD"/>
    <w:rsid w:val="00FD1C7A"/>
    <w:rsid w:val="00FD21CE"/>
    <w:rsid w:val="00FD2575"/>
    <w:rsid w:val="00FD3462"/>
    <w:rsid w:val="00FD4C2D"/>
    <w:rsid w:val="00FD5DB4"/>
    <w:rsid w:val="00FD752F"/>
    <w:rsid w:val="00FD7C5B"/>
    <w:rsid w:val="00FD7FE5"/>
    <w:rsid w:val="00FE038B"/>
    <w:rsid w:val="00FE09B6"/>
    <w:rsid w:val="00FE2258"/>
    <w:rsid w:val="00FE32F9"/>
    <w:rsid w:val="00FE4D6D"/>
    <w:rsid w:val="00FE5354"/>
    <w:rsid w:val="00FE6135"/>
    <w:rsid w:val="00FE7DEC"/>
    <w:rsid w:val="00FF09BC"/>
    <w:rsid w:val="00FF2416"/>
    <w:rsid w:val="00FF5D5B"/>
    <w:rsid w:val="00FF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8AF0"/>
  <w15:docId w15:val="{701E2412-126B-4D3E-9BA3-76142F16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C0"/>
    <w:rPr>
      <w:rFonts w:ascii="Times New Roman" w:hAnsi="Times New Roman"/>
      <w:sz w:val="28"/>
      <w:szCs w:val="24"/>
    </w:rPr>
  </w:style>
  <w:style w:type="paragraph" w:styleId="Heading1">
    <w:name w:val="heading 1"/>
    <w:basedOn w:val="Normal"/>
    <w:next w:val="Normal"/>
    <w:link w:val="Heading1Char"/>
    <w:uiPriority w:val="9"/>
    <w:qFormat/>
    <w:rsid w:val="0053350A"/>
    <w:pPr>
      <w:keepNext/>
      <w:keepLines/>
      <w:spacing w:before="240"/>
      <w:outlineLvl w:val="0"/>
    </w:pPr>
    <w:rPr>
      <w:rFonts w:ascii="Calibri Light" w:eastAsia="DengXian Light" w:hAnsi="Calibri Light"/>
      <w:color w:val="2E74B5"/>
      <w:sz w:val="32"/>
      <w:szCs w:val="32"/>
    </w:rPr>
  </w:style>
  <w:style w:type="paragraph" w:styleId="Heading6">
    <w:name w:val="heading 6"/>
    <w:basedOn w:val="Normal"/>
    <w:next w:val="Normal"/>
    <w:link w:val="Heading6Char"/>
    <w:unhideWhenUsed/>
    <w:qFormat/>
    <w:rsid w:val="00204E5F"/>
    <w:pPr>
      <w:keepNext/>
      <w:keepLines/>
      <w:spacing w:before="40"/>
      <w:outlineLvl w:val="5"/>
    </w:pPr>
    <w:rPr>
      <w:rFonts w:ascii="Calibri Light" w:hAnsi="Calibri Light"/>
      <w:color w:val="1F4D7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46C"/>
    <w:pPr>
      <w:jc w:val="both"/>
    </w:pPr>
    <w:rPr>
      <w:rFonts w:eastAsia="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 Char Char Char Char Char Char Char,bt Char Char Char Char Char Char Char Char Char Char Char Char,bt Char Char Char Char Char Char Char Char Char Char Char Char Char Char Char Cha,bt"/>
    <w:basedOn w:val="Normal"/>
    <w:link w:val="BodyTextChar"/>
    <w:rsid w:val="0013746C"/>
    <w:pPr>
      <w:jc w:val="both"/>
    </w:pPr>
    <w:rPr>
      <w:szCs w:val="28"/>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t Char"/>
    <w:link w:val="BodyText"/>
    <w:rsid w:val="0013746C"/>
    <w:rPr>
      <w:rFonts w:ascii="Times New Roman" w:hAnsi="Times New Roman" w:cs="Times New Roman"/>
      <w:sz w:val="28"/>
      <w:szCs w:val="28"/>
    </w:rPr>
  </w:style>
  <w:style w:type="paragraph" w:styleId="ListParagraph">
    <w:name w:val="List Paragraph"/>
    <w:basedOn w:val="Normal"/>
    <w:uiPriority w:val="34"/>
    <w:qFormat/>
    <w:rsid w:val="00D733A0"/>
    <w:pPr>
      <w:ind w:left="720"/>
      <w:contextualSpacing/>
    </w:pPr>
  </w:style>
  <w:style w:type="paragraph" w:styleId="Header">
    <w:name w:val="header"/>
    <w:basedOn w:val="Normal"/>
    <w:link w:val="HeaderChar"/>
    <w:uiPriority w:val="99"/>
    <w:unhideWhenUsed/>
    <w:rsid w:val="005C0091"/>
    <w:pPr>
      <w:tabs>
        <w:tab w:val="center" w:pos="4680"/>
        <w:tab w:val="right" w:pos="9360"/>
      </w:tabs>
    </w:pPr>
  </w:style>
  <w:style w:type="character" w:customStyle="1" w:styleId="HeaderChar">
    <w:name w:val="Header Char"/>
    <w:link w:val="Header"/>
    <w:uiPriority w:val="99"/>
    <w:rsid w:val="005C0091"/>
    <w:rPr>
      <w:rFonts w:ascii="Times New Roman" w:hAnsi="Times New Roman" w:cs="Times New Roman"/>
      <w:sz w:val="28"/>
      <w:szCs w:val="24"/>
    </w:rPr>
  </w:style>
  <w:style w:type="paragraph" w:styleId="Footer">
    <w:name w:val="footer"/>
    <w:basedOn w:val="Normal"/>
    <w:link w:val="FooterChar"/>
    <w:uiPriority w:val="99"/>
    <w:unhideWhenUsed/>
    <w:rsid w:val="005C0091"/>
    <w:pPr>
      <w:tabs>
        <w:tab w:val="center" w:pos="4680"/>
        <w:tab w:val="right" w:pos="9360"/>
      </w:tabs>
    </w:pPr>
  </w:style>
  <w:style w:type="character" w:customStyle="1" w:styleId="FooterChar">
    <w:name w:val="Footer Char"/>
    <w:link w:val="Footer"/>
    <w:uiPriority w:val="99"/>
    <w:rsid w:val="005C0091"/>
    <w:rPr>
      <w:rFonts w:ascii="Times New Roman" w:hAnsi="Times New Roman" w:cs="Times New Roman"/>
      <w:sz w:val="28"/>
      <w:szCs w:val="24"/>
    </w:rPr>
  </w:style>
  <w:style w:type="character" w:styleId="Strong">
    <w:name w:val="Strong"/>
    <w:uiPriority w:val="22"/>
    <w:qFormat/>
    <w:rsid w:val="002327B2"/>
    <w:rPr>
      <w:b/>
      <w:bCs/>
    </w:rPr>
  </w:style>
  <w:style w:type="paragraph" w:customStyle="1" w:styleId="Nidung">
    <w:name w:val="Nội dung"/>
    <w:rsid w:val="008656B2"/>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paragraph" w:styleId="BalloonText">
    <w:name w:val="Balloon Text"/>
    <w:basedOn w:val="Normal"/>
    <w:link w:val="BalloonTextChar"/>
    <w:uiPriority w:val="99"/>
    <w:semiHidden/>
    <w:unhideWhenUsed/>
    <w:rsid w:val="006723A2"/>
    <w:rPr>
      <w:rFonts w:ascii="Segoe UI" w:hAnsi="Segoe UI" w:cs="Segoe UI"/>
      <w:sz w:val="18"/>
      <w:szCs w:val="18"/>
    </w:rPr>
  </w:style>
  <w:style w:type="character" w:customStyle="1" w:styleId="BalloonTextChar">
    <w:name w:val="Balloon Text Char"/>
    <w:link w:val="BalloonText"/>
    <w:uiPriority w:val="99"/>
    <w:semiHidden/>
    <w:rsid w:val="006723A2"/>
    <w:rPr>
      <w:rFonts w:ascii="Segoe UI" w:hAnsi="Segoe UI" w:cs="Segoe UI"/>
      <w:sz w:val="18"/>
      <w:szCs w:val="18"/>
    </w:rPr>
  </w:style>
  <w:style w:type="paragraph" w:styleId="BodyTextIndent2">
    <w:name w:val="Body Text Indent 2"/>
    <w:basedOn w:val="Normal"/>
    <w:link w:val="BodyTextIndent2Char"/>
    <w:uiPriority w:val="99"/>
    <w:unhideWhenUsed/>
    <w:rsid w:val="000B0B50"/>
    <w:pPr>
      <w:spacing w:after="120" w:line="480" w:lineRule="auto"/>
      <w:ind w:left="283"/>
    </w:pPr>
  </w:style>
  <w:style w:type="character" w:customStyle="1" w:styleId="BodyTextIndent2Char">
    <w:name w:val="Body Text Indent 2 Char"/>
    <w:link w:val="BodyTextIndent2"/>
    <w:uiPriority w:val="99"/>
    <w:rsid w:val="000B0B50"/>
    <w:rPr>
      <w:rFonts w:ascii="Times New Roman" w:hAnsi="Times New Roman" w:cs="Times New Roman"/>
      <w:sz w:val="28"/>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Char Char Char Char,Char Char Char Char Char Char Char Char Char Char Char1"/>
    <w:link w:val="NormalWeb"/>
    <w:locked/>
    <w:rsid w:val="000B0B50"/>
    <w:rPr>
      <w:sz w:val="24"/>
      <w:szCs w:val="24"/>
    </w:rPr>
  </w:style>
  <w:style w:type="paragraph" w:styleId="NormalWeb">
    <w:name w:val="Normal (Web)"/>
    <w:aliases w:val="Char Char Char Char Char Char Char Char Char Char Char,Обычный (веб)1,Обычный (веб) Знак,Обычный (веб) Знак1,Обычный (веб) Знак Знак,Char Char Char,Char Char Char Char Char Char Char Char Char Char,webb,Char Char25"/>
    <w:basedOn w:val="Normal"/>
    <w:link w:val="NormalWebChar"/>
    <w:uiPriority w:val="99"/>
    <w:qFormat/>
    <w:rsid w:val="000B0B50"/>
    <w:pPr>
      <w:spacing w:before="100" w:beforeAutospacing="1" w:after="100" w:afterAutospacing="1"/>
    </w:pPr>
    <w:rPr>
      <w:rFonts w:ascii="Calibri" w:hAnsi="Calibri"/>
      <w:sz w:val="24"/>
    </w:rPr>
  </w:style>
  <w:style w:type="paragraph" w:styleId="BodyTextIndent">
    <w:name w:val="Body Text Indent"/>
    <w:basedOn w:val="Normal"/>
    <w:link w:val="BodyTextIndentChar"/>
    <w:uiPriority w:val="99"/>
    <w:semiHidden/>
    <w:unhideWhenUsed/>
    <w:rsid w:val="00075A75"/>
    <w:pPr>
      <w:spacing w:after="120"/>
      <w:ind w:left="360"/>
    </w:pPr>
  </w:style>
  <w:style w:type="character" w:customStyle="1" w:styleId="BodyTextIndentChar">
    <w:name w:val="Body Text Indent Char"/>
    <w:link w:val="BodyTextIndent"/>
    <w:uiPriority w:val="99"/>
    <w:semiHidden/>
    <w:rsid w:val="00075A75"/>
    <w:rPr>
      <w:rFonts w:ascii="Times New Roman" w:hAnsi="Times New Roman" w:cs="Times New Roman"/>
      <w:sz w:val="28"/>
      <w:szCs w:val="24"/>
    </w:rPr>
  </w:style>
  <w:style w:type="paragraph" w:styleId="FootnoteText">
    <w:name w:val="footnote text"/>
    <w:basedOn w:val="Normal"/>
    <w:link w:val="FootnoteTextChar"/>
    <w:uiPriority w:val="99"/>
    <w:unhideWhenUsed/>
    <w:rsid w:val="001034E1"/>
    <w:rPr>
      <w:sz w:val="20"/>
      <w:szCs w:val="20"/>
    </w:rPr>
  </w:style>
  <w:style w:type="character" w:customStyle="1" w:styleId="FootnoteTextChar">
    <w:name w:val="Footnote Text Char"/>
    <w:link w:val="FootnoteText"/>
    <w:uiPriority w:val="99"/>
    <w:rsid w:val="001034E1"/>
    <w:rPr>
      <w:rFonts w:ascii="Times New Roman" w:hAnsi="Times New Roman" w:cs="Times New Roman"/>
      <w:sz w:val="20"/>
      <w:szCs w:val="20"/>
    </w:rPr>
  </w:style>
  <w:style w:type="character" w:styleId="FootnoteReference">
    <w:name w:val="footnote reference"/>
    <w:uiPriority w:val="99"/>
    <w:semiHidden/>
    <w:unhideWhenUsed/>
    <w:rsid w:val="001034E1"/>
    <w:rPr>
      <w:vertAlign w:val="superscript"/>
    </w:rPr>
  </w:style>
  <w:style w:type="character" w:customStyle="1" w:styleId="Heading6Char">
    <w:name w:val="Heading 6 Char"/>
    <w:link w:val="Heading6"/>
    <w:rsid w:val="00204E5F"/>
    <w:rPr>
      <w:rFonts w:ascii="Calibri Light" w:hAnsi="Calibri Light" w:cs="Times New Roman"/>
      <w:color w:val="1F4D78"/>
      <w:sz w:val="24"/>
      <w:szCs w:val="24"/>
    </w:rPr>
  </w:style>
  <w:style w:type="character" w:customStyle="1" w:styleId="Bodytext2">
    <w:name w:val="Body text (2)"/>
    <w:rsid w:val="0031555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character" w:customStyle="1" w:styleId="Heading1Char">
    <w:name w:val="Heading 1 Char"/>
    <w:link w:val="Heading1"/>
    <w:uiPriority w:val="9"/>
    <w:rsid w:val="0053350A"/>
    <w:rPr>
      <w:rFonts w:ascii="Calibri Light" w:eastAsia="DengXian Light" w:hAnsi="Calibri Light" w:cs="Times New Roman"/>
      <w:color w:val="2E74B5"/>
      <w:sz w:val="32"/>
      <w:szCs w:val="32"/>
    </w:rPr>
  </w:style>
  <w:style w:type="character" w:customStyle="1" w:styleId="fontstyle01">
    <w:name w:val="fontstyle01"/>
    <w:rsid w:val="00000C05"/>
    <w:rPr>
      <w:rFonts w:ascii="Times New Roman" w:hAnsi="Times New Roman" w:cs="Times New Roman" w:hint="default"/>
      <w:b w:val="0"/>
      <w:bCs w:val="0"/>
      <w:i w:val="0"/>
      <w:iCs w:val="0"/>
      <w:color w:val="000000"/>
      <w:sz w:val="28"/>
      <w:szCs w:val="28"/>
    </w:rPr>
  </w:style>
  <w:style w:type="character" w:customStyle="1" w:styleId="fontstyle21">
    <w:name w:val="fontstyle21"/>
    <w:rsid w:val="00432346"/>
    <w:rPr>
      <w:rFonts w:ascii="Times New Roman" w:hAnsi="Times New Roman" w:cs="Times New Roman" w:hint="default"/>
      <w:b w:val="0"/>
      <w:bCs w:val="0"/>
      <w:i/>
      <w:iCs/>
      <w:color w:val="000000"/>
      <w:sz w:val="28"/>
      <w:szCs w:val="28"/>
    </w:rPr>
  </w:style>
  <w:style w:type="character" w:customStyle="1" w:styleId="text">
    <w:name w:val="text"/>
    <w:basedOn w:val="DefaultParagraphFont"/>
    <w:rsid w:val="00E02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6844">
      <w:bodyDiv w:val="1"/>
      <w:marLeft w:val="0"/>
      <w:marRight w:val="0"/>
      <w:marTop w:val="0"/>
      <w:marBottom w:val="0"/>
      <w:divBdr>
        <w:top w:val="none" w:sz="0" w:space="0" w:color="auto"/>
        <w:left w:val="none" w:sz="0" w:space="0" w:color="auto"/>
        <w:bottom w:val="none" w:sz="0" w:space="0" w:color="auto"/>
        <w:right w:val="none" w:sz="0" w:space="0" w:color="auto"/>
      </w:divBdr>
    </w:div>
    <w:div w:id="182861673">
      <w:bodyDiv w:val="1"/>
      <w:marLeft w:val="0"/>
      <w:marRight w:val="0"/>
      <w:marTop w:val="0"/>
      <w:marBottom w:val="0"/>
      <w:divBdr>
        <w:top w:val="none" w:sz="0" w:space="0" w:color="auto"/>
        <w:left w:val="none" w:sz="0" w:space="0" w:color="auto"/>
        <w:bottom w:val="none" w:sz="0" w:space="0" w:color="auto"/>
        <w:right w:val="none" w:sz="0" w:space="0" w:color="auto"/>
      </w:divBdr>
    </w:div>
    <w:div w:id="224414032">
      <w:bodyDiv w:val="1"/>
      <w:marLeft w:val="0"/>
      <w:marRight w:val="0"/>
      <w:marTop w:val="0"/>
      <w:marBottom w:val="0"/>
      <w:divBdr>
        <w:top w:val="none" w:sz="0" w:space="0" w:color="auto"/>
        <w:left w:val="none" w:sz="0" w:space="0" w:color="auto"/>
        <w:bottom w:val="none" w:sz="0" w:space="0" w:color="auto"/>
        <w:right w:val="none" w:sz="0" w:space="0" w:color="auto"/>
      </w:divBdr>
      <w:divsChild>
        <w:div w:id="2005627408">
          <w:marLeft w:val="0"/>
          <w:marRight w:val="0"/>
          <w:marTop w:val="0"/>
          <w:marBottom w:val="0"/>
          <w:divBdr>
            <w:top w:val="none" w:sz="0" w:space="0" w:color="auto"/>
            <w:left w:val="none" w:sz="0" w:space="0" w:color="auto"/>
            <w:bottom w:val="none" w:sz="0" w:space="0" w:color="auto"/>
            <w:right w:val="none" w:sz="0" w:space="0" w:color="auto"/>
          </w:divBdr>
          <w:divsChild>
            <w:div w:id="521282332">
              <w:marLeft w:val="750"/>
              <w:marRight w:val="0"/>
              <w:marTop w:val="0"/>
              <w:marBottom w:val="0"/>
              <w:divBdr>
                <w:top w:val="none" w:sz="0" w:space="0" w:color="auto"/>
                <w:left w:val="none" w:sz="0" w:space="0" w:color="auto"/>
                <w:bottom w:val="none" w:sz="0" w:space="0" w:color="auto"/>
                <w:right w:val="none" w:sz="0" w:space="0" w:color="auto"/>
              </w:divBdr>
              <w:divsChild>
                <w:div w:id="1928340884">
                  <w:marLeft w:val="0"/>
                  <w:marRight w:val="0"/>
                  <w:marTop w:val="0"/>
                  <w:marBottom w:val="0"/>
                  <w:divBdr>
                    <w:top w:val="none" w:sz="0" w:space="0" w:color="auto"/>
                    <w:left w:val="none" w:sz="0" w:space="0" w:color="auto"/>
                    <w:bottom w:val="none" w:sz="0" w:space="0" w:color="auto"/>
                    <w:right w:val="none" w:sz="0" w:space="0" w:color="auto"/>
                  </w:divBdr>
                  <w:divsChild>
                    <w:div w:id="1965304401">
                      <w:marLeft w:val="0"/>
                      <w:marRight w:val="0"/>
                      <w:marTop w:val="0"/>
                      <w:marBottom w:val="0"/>
                      <w:divBdr>
                        <w:top w:val="none" w:sz="0" w:space="0" w:color="auto"/>
                        <w:left w:val="none" w:sz="0" w:space="0" w:color="auto"/>
                        <w:bottom w:val="none" w:sz="0" w:space="0" w:color="auto"/>
                        <w:right w:val="none" w:sz="0" w:space="0" w:color="auto"/>
                      </w:divBdr>
                      <w:divsChild>
                        <w:div w:id="1266159500">
                          <w:marLeft w:val="0"/>
                          <w:marRight w:val="0"/>
                          <w:marTop w:val="0"/>
                          <w:marBottom w:val="0"/>
                          <w:divBdr>
                            <w:top w:val="none" w:sz="0" w:space="0" w:color="auto"/>
                            <w:left w:val="none" w:sz="0" w:space="0" w:color="auto"/>
                            <w:bottom w:val="none" w:sz="0" w:space="0" w:color="auto"/>
                            <w:right w:val="none" w:sz="0" w:space="0" w:color="auto"/>
                          </w:divBdr>
                          <w:divsChild>
                            <w:div w:id="1016073612">
                              <w:marLeft w:val="0"/>
                              <w:marRight w:val="0"/>
                              <w:marTop w:val="0"/>
                              <w:marBottom w:val="0"/>
                              <w:divBdr>
                                <w:top w:val="none" w:sz="0" w:space="0" w:color="auto"/>
                                <w:left w:val="none" w:sz="0" w:space="0" w:color="auto"/>
                                <w:bottom w:val="none" w:sz="0" w:space="0" w:color="auto"/>
                                <w:right w:val="none" w:sz="0" w:space="0" w:color="auto"/>
                              </w:divBdr>
                              <w:divsChild>
                                <w:div w:id="1015110243">
                                  <w:marLeft w:val="0"/>
                                  <w:marRight w:val="0"/>
                                  <w:marTop w:val="0"/>
                                  <w:marBottom w:val="0"/>
                                  <w:divBdr>
                                    <w:top w:val="none" w:sz="0" w:space="0" w:color="auto"/>
                                    <w:left w:val="none" w:sz="0" w:space="0" w:color="auto"/>
                                    <w:bottom w:val="none" w:sz="0" w:space="0" w:color="auto"/>
                                    <w:right w:val="none" w:sz="0" w:space="0" w:color="auto"/>
                                  </w:divBdr>
                                  <w:divsChild>
                                    <w:div w:id="356270363">
                                      <w:marLeft w:val="0"/>
                                      <w:marRight w:val="0"/>
                                      <w:marTop w:val="0"/>
                                      <w:marBottom w:val="0"/>
                                      <w:divBdr>
                                        <w:top w:val="none" w:sz="0" w:space="0" w:color="auto"/>
                                        <w:left w:val="none" w:sz="0" w:space="0" w:color="auto"/>
                                        <w:bottom w:val="none" w:sz="0" w:space="0" w:color="auto"/>
                                        <w:right w:val="none" w:sz="0" w:space="0" w:color="auto"/>
                                      </w:divBdr>
                                      <w:divsChild>
                                        <w:div w:id="1692800926">
                                          <w:marLeft w:val="0"/>
                                          <w:marRight w:val="0"/>
                                          <w:marTop w:val="0"/>
                                          <w:marBottom w:val="0"/>
                                          <w:divBdr>
                                            <w:top w:val="none" w:sz="0" w:space="0" w:color="auto"/>
                                            <w:left w:val="none" w:sz="0" w:space="0" w:color="auto"/>
                                            <w:bottom w:val="none" w:sz="0" w:space="0" w:color="auto"/>
                                            <w:right w:val="none" w:sz="0" w:space="0" w:color="auto"/>
                                          </w:divBdr>
                                          <w:divsChild>
                                            <w:div w:id="1025133212">
                                              <w:marLeft w:val="0"/>
                                              <w:marRight w:val="0"/>
                                              <w:marTop w:val="0"/>
                                              <w:marBottom w:val="0"/>
                                              <w:divBdr>
                                                <w:top w:val="none" w:sz="0" w:space="0" w:color="auto"/>
                                                <w:left w:val="none" w:sz="0" w:space="0" w:color="auto"/>
                                                <w:bottom w:val="none" w:sz="0" w:space="0" w:color="auto"/>
                                                <w:right w:val="none" w:sz="0" w:space="0" w:color="auto"/>
                                              </w:divBdr>
                                              <w:divsChild>
                                                <w:div w:id="216164834">
                                                  <w:marLeft w:val="0"/>
                                                  <w:marRight w:val="0"/>
                                                  <w:marTop w:val="0"/>
                                                  <w:marBottom w:val="0"/>
                                                  <w:divBdr>
                                                    <w:top w:val="none" w:sz="0" w:space="0" w:color="auto"/>
                                                    <w:left w:val="none" w:sz="0" w:space="0" w:color="auto"/>
                                                    <w:bottom w:val="none" w:sz="0" w:space="0" w:color="auto"/>
                                                    <w:right w:val="none" w:sz="0" w:space="0" w:color="auto"/>
                                                  </w:divBdr>
                                                  <w:divsChild>
                                                    <w:div w:id="5768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890619">
          <w:marLeft w:val="0"/>
          <w:marRight w:val="0"/>
          <w:marTop w:val="0"/>
          <w:marBottom w:val="0"/>
          <w:divBdr>
            <w:top w:val="none" w:sz="0" w:space="0" w:color="auto"/>
            <w:left w:val="none" w:sz="0" w:space="0" w:color="auto"/>
            <w:bottom w:val="none" w:sz="0" w:space="0" w:color="auto"/>
            <w:right w:val="none" w:sz="0" w:space="0" w:color="auto"/>
          </w:divBdr>
          <w:divsChild>
            <w:div w:id="491068441">
              <w:marLeft w:val="750"/>
              <w:marRight w:val="0"/>
              <w:marTop w:val="0"/>
              <w:marBottom w:val="0"/>
              <w:divBdr>
                <w:top w:val="none" w:sz="0" w:space="0" w:color="auto"/>
                <w:left w:val="none" w:sz="0" w:space="0" w:color="auto"/>
                <w:bottom w:val="none" w:sz="0" w:space="0" w:color="auto"/>
                <w:right w:val="none" w:sz="0" w:space="0" w:color="auto"/>
              </w:divBdr>
              <w:divsChild>
                <w:div w:id="67651333">
                  <w:marLeft w:val="0"/>
                  <w:marRight w:val="0"/>
                  <w:marTop w:val="0"/>
                  <w:marBottom w:val="0"/>
                  <w:divBdr>
                    <w:top w:val="none" w:sz="0" w:space="0" w:color="auto"/>
                    <w:left w:val="none" w:sz="0" w:space="0" w:color="auto"/>
                    <w:bottom w:val="none" w:sz="0" w:space="0" w:color="auto"/>
                    <w:right w:val="none" w:sz="0" w:space="0" w:color="auto"/>
                  </w:divBdr>
                  <w:divsChild>
                    <w:div w:id="1637418735">
                      <w:marLeft w:val="0"/>
                      <w:marRight w:val="0"/>
                      <w:marTop w:val="0"/>
                      <w:marBottom w:val="0"/>
                      <w:divBdr>
                        <w:top w:val="none" w:sz="0" w:space="0" w:color="auto"/>
                        <w:left w:val="none" w:sz="0" w:space="0" w:color="auto"/>
                        <w:bottom w:val="none" w:sz="0" w:space="0" w:color="auto"/>
                        <w:right w:val="none" w:sz="0" w:space="0" w:color="auto"/>
                      </w:divBdr>
                      <w:divsChild>
                        <w:div w:id="1045328636">
                          <w:marLeft w:val="0"/>
                          <w:marRight w:val="0"/>
                          <w:marTop w:val="0"/>
                          <w:marBottom w:val="0"/>
                          <w:divBdr>
                            <w:top w:val="none" w:sz="0" w:space="0" w:color="auto"/>
                            <w:left w:val="none" w:sz="0" w:space="0" w:color="auto"/>
                            <w:bottom w:val="none" w:sz="0" w:space="0" w:color="auto"/>
                            <w:right w:val="none" w:sz="0" w:space="0" w:color="auto"/>
                          </w:divBdr>
                          <w:divsChild>
                            <w:div w:id="1459106768">
                              <w:marLeft w:val="0"/>
                              <w:marRight w:val="0"/>
                              <w:marTop w:val="0"/>
                              <w:marBottom w:val="0"/>
                              <w:divBdr>
                                <w:top w:val="none" w:sz="0" w:space="0" w:color="auto"/>
                                <w:left w:val="none" w:sz="0" w:space="0" w:color="auto"/>
                                <w:bottom w:val="none" w:sz="0" w:space="0" w:color="auto"/>
                                <w:right w:val="none" w:sz="0" w:space="0" w:color="auto"/>
                              </w:divBdr>
                              <w:divsChild>
                                <w:div w:id="1369916383">
                                  <w:marLeft w:val="0"/>
                                  <w:marRight w:val="0"/>
                                  <w:marTop w:val="0"/>
                                  <w:marBottom w:val="0"/>
                                  <w:divBdr>
                                    <w:top w:val="none" w:sz="0" w:space="0" w:color="auto"/>
                                    <w:left w:val="none" w:sz="0" w:space="0" w:color="auto"/>
                                    <w:bottom w:val="none" w:sz="0" w:space="0" w:color="auto"/>
                                    <w:right w:val="none" w:sz="0" w:space="0" w:color="auto"/>
                                  </w:divBdr>
                                  <w:divsChild>
                                    <w:div w:id="1569027099">
                                      <w:marLeft w:val="0"/>
                                      <w:marRight w:val="0"/>
                                      <w:marTop w:val="0"/>
                                      <w:marBottom w:val="0"/>
                                      <w:divBdr>
                                        <w:top w:val="none" w:sz="0" w:space="0" w:color="auto"/>
                                        <w:left w:val="none" w:sz="0" w:space="0" w:color="auto"/>
                                        <w:bottom w:val="none" w:sz="0" w:space="0" w:color="auto"/>
                                        <w:right w:val="none" w:sz="0" w:space="0" w:color="auto"/>
                                      </w:divBdr>
                                      <w:divsChild>
                                        <w:div w:id="7566480">
                                          <w:marLeft w:val="0"/>
                                          <w:marRight w:val="0"/>
                                          <w:marTop w:val="0"/>
                                          <w:marBottom w:val="0"/>
                                          <w:divBdr>
                                            <w:top w:val="none" w:sz="0" w:space="0" w:color="auto"/>
                                            <w:left w:val="none" w:sz="0" w:space="0" w:color="auto"/>
                                            <w:bottom w:val="none" w:sz="0" w:space="0" w:color="auto"/>
                                            <w:right w:val="none" w:sz="0" w:space="0" w:color="auto"/>
                                          </w:divBdr>
                                          <w:divsChild>
                                            <w:div w:id="1010597373">
                                              <w:marLeft w:val="0"/>
                                              <w:marRight w:val="0"/>
                                              <w:marTop w:val="0"/>
                                              <w:marBottom w:val="0"/>
                                              <w:divBdr>
                                                <w:top w:val="none" w:sz="0" w:space="0" w:color="auto"/>
                                                <w:left w:val="none" w:sz="0" w:space="0" w:color="auto"/>
                                                <w:bottom w:val="none" w:sz="0" w:space="0" w:color="auto"/>
                                                <w:right w:val="none" w:sz="0" w:space="0" w:color="auto"/>
                                              </w:divBdr>
                                              <w:divsChild>
                                                <w:div w:id="217402271">
                                                  <w:marLeft w:val="0"/>
                                                  <w:marRight w:val="0"/>
                                                  <w:marTop w:val="0"/>
                                                  <w:marBottom w:val="0"/>
                                                  <w:divBdr>
                                                    <w:top w:val="none" w:sz="0" w:space="0" w:color="auto"/>
                                                    <w:left w:val="none" w:sz="0" w:space="0" w:color="auto"/>
                                                    <w:bottom w:val="none" w:sz="0" w:space="0" w:color="auto"/>
                                                    <w:right w:val="none" w:sz="0" w:space="0" w:color="auto"/>
                                                  </w:divBdr>
                                                  <w:divsChild>
                                                    <w:div w:id="1126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656528">
      <w:bodyDiv w:val="1"/>
      <w:marLeft w:val="0"/>
      <w:marRight w:val="0"/>
      <w:marTop w:val="0"/>
      <w:marBottom w:val="0"/>
      <w:divBdr>
        <w:top w:val="none" w:sz="0" w:space="0" w:color="auto"/>
        <w:left w:val="none" w:sz="0" w:space="0" w:color="auto"/>
        <w:bottom w:val="none" w:sz="0" w:space="0" w:color="auto"/>
        <w:right w:val="none" w:sz="0" w:space="0" w:color="auto"/>
      </w:divBdr>
    </w:div>
    <w:div w:id="685131826">
      <w:bodyDiv w:val="1"/>
      <w:marLeft w:val="0"/>
      <w:marRight w:val="0"/>
      <w:marTop w:val="0"/>
      <w:marBottom w:val="0"/>
      <w:divBdr>
        <w:top w:val="none" w:sz="0" w:space="0" w:color="auto"/>
        <w:left w:val="none" w:sz="0" w:space="0" w:color="auto"/>
        <w:bottom w:val="none" w:sz="0" w:space="0" w:color="auto"/>
        <w:right w:val="none" w:sz="0" w:space="0" w:color="auto"/>
      </w:divBdr>
    </w:div>
    <w:div w:id="690452813">
      <w:bodyDiv w:val="1"/>
      <w:marLeft w:val="0"/>
      <w:marRight w:val="0"/>
      <w:marTop w:val="0"/>
      <w:marBottom w:val="0"/>
      <w:divBdr>
        <w:top w:val="none" w:sz="0" w:space="0" w:color="auto"/>
        <w:left w:val="none" w:sz="0" w:space="0" w:color="auto"/>
        <w:bottom w:val="none" w:sz="0" w:space="0" w:color="auto"/>
        <w:right w:val="none" w:sz="0" w:space="0" w:color="auto"/>
      </w:divBdr>
    </w:div>
    <w:div w:id="808210598">
      <w:bodyDiv w:val="1"/>
      <w:marLeft w:val="0"/>
      <w:marRight w:val="0"/>
      <w:marTop w:val="0"/>
      <w:marBottom w:val="0"/>
      <w:divBdr>
        <w:top w:val="none" w:sz="0" w:space="0" w:color="auto"/>
        <w:left w:val="none" w:sz="0" w:space="0" w:color="auto"/>
        <w:bottom w:val="none" w:sz="0" w:space="0" w:color="auto"/>
        <w:right w:val="none" w:sz="0" w:space="0" w:color="auto"/>
      </w:divBdr>
    </w:div>
    <w:div w:id="924730890">
      <w:bodyDiv w:val="1"/>
      <w:marLeft w:val="0"/>
      <w:marRight w:val="0"/>
      <w:marTop w:val="0"/>
      <w:marBottom w:val="0"/>
      <w:divBdr>
        <w:top w:val="none" w:sz="0" w:space="0" w:color="auto"/>
        <w:left w:val="none" w:sz="0" w:space="0" w:color="auto"/>
        <w:bottom w:val="none" w:sz="0" w:space="0" w:color="auto"/>
        <w:right w:val="none" w:sz="0" w:space="0" w:color="auto"/>
      </w:divBdr>
    </w:div>
    <w:div w:id="1042898042">
      <w:bodyDiv w:val="1"/>
      <w:marLeft w:val="0"/>
      <w:marRight w:val="0"/>
      <w:marTop w:val="0"/>
      <w:marBottom w:val="0"/>
      <w:divBdr>
        <w:top w:val="none" w:sz="0" w:space="0" w:color="auto"/>
        <w:left w:val="none" w:sz="0" w:space="0" w:color="auto"/>
        <w:bottom w:val="none" w:sz="0" w:space="0" w:color="auto"/>
        <w:right w:val="none" w:sz="0" w:space="0" w:color="auto"/>
      </w:divBdr>
    </w:div>
    <w:div w:id="1197499516">
      <w:bodyDiv w:val="1"/>
      <w:marLeft w:val="0"/>
      <w:marRight w:val="0"/>
      <w:marTop w:val="0"/>
      <w:marBottom w:val="0"/>
      <w:divBdr>
        <w:top w:val="none" w:sz="0" w:space="0" w:color="auto"/>
        <w:left w:val="none" w:sz="0" w:space="0" w:color="auto"/>
        <w:bottom w:val="none" w:sz="0" w:space="0" w:color="auto"/>
        <w:right w:val="none" w:sz="0" w:space="0" w:color="auto"/>
      </w:divBdr>
    </w:div>
    <w:div w:id="1238707855">
      <w:bodyDiv w:val="1"/>
      <w:marLeft w:val="0"/>
      <w:marRight w:val="0"/>
      <w:marTop w:val="0"/>
      <w:marBottom w:val="0"/>
      <w:divBdr>
        <w:top w:val="none" w:sz="0" w:space="0" w:color="auto"/>
        <w:left w:val="none" w:sz="0" w:space="0" w:color="auto"/>
        <w:bottom w:val="none" w:sz="0" w:space="0" w:color="auto"/>
        <w:right w:val="none" w:sz="0" w:space="0" w:color="auto"/>
      </w:divBdr>
    </w:div>
    <w:div w:id="1254239088">
      <w:bodyDiv w:val="1"/>
      <w:marLeft w:val="0"/>
      <w:marRight w:val="0"/>
      <w:marTop w:val="0"/>
      <w:marBottom w:val="0"/>
      <w:divBdr>
        <w:top w:val="none" w:sz="0" w:space="0" w:color="auto"/>
        <w:left w:val="none" w:sz="0" w:space="0" w:color="auto"/>
        <w:bottom w:val="none" w:sz="0" w:space="0" w:color="auto"/>
        <w:right w:val="none" w:sz="0" w:space="0" w:color="auto"/>
      </w:divBdr>
    </w:div>
    <w:div w:id="1269697430">
      <w:bodyDiv w:val="1"/>
      <w:marLeft w:val="0"/>
      <w:marRight w:val="0"/>
      <w:marTop w:val="0"/>
      <w:marBottom w:val="0"/>
      <w:divBdr>
        <w:top w:val="none" w:sz="0" w:space="0" w:color="auto"/>
        <w:left w:val="none" w:sz="0" w:space="0" w:color="auto"/>
        <w:bottom w:val="none" w:sz="0" w:space="0" w:color="auto"/>
        <w:right w:val="none" w:sz="0" w:space="0" w:color="auto"/>
      </w:divBdr>
    </w:div>
    <w:div w:id="1324237634">
      <w:bodyDiv w:val="1"/>
      <w:marLeft w:val="0"/>
      <w:marRight w:val="0"/>
      <w:marTop w:val="0"/>
      <w:marBottom w:val="0"/>
      <w:divBdr>
        <w:top w:val="none" w:sz="0" w:space="0" w:color="auto"/>
        <w:left w:val="none" w:sz="0" w:space="0" w:color="auto"/>
        <w:bottom w:val="none" w:sz="0" w:space="0" w:color="auto"/>
        <w:right w:val="none" w:sz="0" w:space="0" w:color="auto"/>
      </w:divBdr>
    </w:div>
    <w:div w:id="1509755763">
      <w:bodyDiv w:val="1"/>
      <w:marLeft w:val="0"/>
      <w:marRight w:val="0"/>
      <w:marTop w:val="0"/>
      <w:marBottom w:val="0"/>
      <w:divBdr>
        <w:top w:val="none" w:sz="0" w:space="0" w:color="auto"/>
        <w:left w:val="none" w:sz="0" w:space="0" w:color="auto"/>
        <w:bottom w:val="none" w:sz="0" w:space="0" w:color="auto"/>
        <w:right w:val="none" w:sz="0" w:space="0" w:color="auto"/>
      </w:divBdr>
    </w:div>
    <w:div w:id="1714961339">
      <w:bodyDiv w:val="1"/>
      <w:marLeft w:val="0"/>
      <w:marRight w:val="0"/>
      <w:marTop w:val="0"/>
      <w:marBottom w:val="0"/>
      <w:divBdr>
        <w:top w:val="none" w:sz="0" w:space="0" w:color="auto"/>
        <w:left w:val="none" w:sz="0" w:space="0" w:color="auto"/>
        <w:bottom w:val="none" w:sz="0" w:space="0" w:color="auto"/>
        <w:right w:val="none" w:sz="0" w:space="0" w:color="auto"/>
      </w:divBdr>
    </w:div>
    <w:div w:id="1773042088">
      <w:bodyDiv w:val="1"/>
      <w:marLeft w:val="0"/>
      <w:marRight w:val="0"/>
      <w:marTop w:val="0"/>
      <w:marBottom w:val="0"/>
      <w:divBdr>
        <w:top w:val="none" w:sz="0" w:space="0" w:color="auto"/>
        <w:left w:val="none" w:sz="0" w:space="0" w:color="auto"/>
        <w:bottom w:val="none" w:sz="0" w:space="0" w:color="auto"/>
        <w:right w:val="none" w:sz="0" w:space="0" w:color="auto"/>
      </w:divBdr>
    </w:div>
    <w:div w:id="1781493088">
      <w:bodyDiv w:val="1"/>
      <w:marLeft w:val="0"/>
      <w:marRight w:val="0"/>
      <w:marTop w:val="0"/>
      <w:marBottom w:val="0"/>
      <w:divBdr>
        <w:top w:val="none" w:sz="0" w:space="0" w:color="auto"/>
        <w:left w:val="none" w:sz="0" w:space="0" w:color="auto"/>
        <w:bottom w:val="none" w:sz="0" w:space="0" w:color="auto"/>
        <w:right w:val="none" w:sz="0" w:space="0" w:color="auto"/>
      </w:divBdr>
    </w:div>
    <w:div w:id="1862930555">
      <w:bodyDiv w:val="1"/>
      <w:marLeft w:val="0"/>
      <w:marRight w:val="0"/>
      <w:marTop w:val="0"/>
      <w:marBottom w:val="0"/>
      <w:divBdr>
        <w:top w:val="none" w:sz="0" w:space="0" w:color="auto"/>
        <w:left w:val="none" w:sz="0" w:space="0" w:color="auto"/>
        <w:bottom w:val="none" w:sz="0" w:space="0" w:color="auto"/>
        <w:right w:val="none" w:sz="0" w:space="0" w:color="auto"/>
      </w:divBdr>
    </w:div>
    <w:div w:id="1887839625">
      <w:bodyDiv w:val="1"/>
      <w:marLeft w:val="0"/>
      <w:marRight w:val="0"/>
      <w:marTop w:val="0"/>
      <w:marBottom w:val="0"/>
      <w:divBdr>
        <w:top w:val="none" w:sz="0" w:space="0" w:color="auto"/>
        <w:left w:val="none" w:sz="0" w:space="0" w:color="auto"/>
        <w:bottom w:val="none" w:sz="0" w:space="0" w:color="auto"/>
        <w:right w:val="none" w:sz="0" w:space="0" w:color="auto"/>
      </w:divBdr>
    </w:div>
    <w:div w:id="204309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7C377-2434-4D2C-AD3F-79EC8A77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4809</Words>
  <Characters>27416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Thanh Tung</dc:creator>
  <cp:keywords/>
  <cp:lastModifiedBy>NEW</cp:lastModifiedBy>
  <cp:revision>2</cp:revision>
  <cp:lastPrinted>2024-08-27T01:36:00Z</cp:lastPrinted>
  <dcterms:created xsi:type="dcterms:W3CDTF">2026-05-28T03:23:00Z</dcterms:created>
  <dcterms:modified xsi:type="dcterms:W3CDTF">2026-05-28T03:23:00Z</dcterms:modified>
</cp:coreProperties>
</file>